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194EB" w14:textId="77777777" w:rsidR="00CD18C2" w:rsidRPr="00CD18C2" w:rsidRDefault="00CD18C2" w:rsidP="00CD18C2">
      <w:pPr>
        <w:shd w:val="clear" w:color="auto" w:fill="FFFFFF"/>
        <w:spacing w:after="0" w:line="360" w:lineRule="auto"/>
        <w:jc w:val="center"/>
        <w:rPr>
          <w:rFonts w:ascii="Times New Roman" w:eastAsia="Times New Roman" w:hAnsi="Times New Roman" w:cs="Times New Roman"/>
          <w:b/>
          <w:color w:val="222222"/>
          <w:sz w:val="24"/>
          <w:szCs w:val="24"/>
          <w:lang w:eastAsia="es-AR"/>
        </w:rPr>
      </w:pPr>
      <w:r w:rsidRPr="00CD18C2">
        <w:rPr>
          <w:rFonts w:ascii="Times New Roman" w:eastAsia="Times New Roman" w:hAnsi="Times New Roman" w:cs="Times New Roman"/>
          <w:b/>
          <w:color w:val="222222"/>
          <w:sz w:val="24"/>
          <w:szCs w:val="24"/>
          <w:lang w:eastAsia="es-AR"/>
        </w:rPr>
        <w:t>ARECIA</w:t>
      </w:r>
    </w:p>
    <w:p w14:paraId="0EBAC4A8" w14:textId="77777777" w:rsidR="00CD18C2" w:rsidRPr="00CD18C2" w:rsidRDefault="00CD18C2" w:rsidP="00CD18C2">
      <w:pPr>
        <w:shd w:val="clear" w:color="auto" w:fill="FFFFFF"/>
        <w:spacing w:after="0" w:line="360" w:lineRule="auto"/>
        <w:jc w:val="center"/>
        <w:rPr>
          <w:rFonts w:ascii="Times New Roman" w:eastAsia="Times New Roman" w:hAnsi="Times New Roman" w:cs="Times New Roman"/>
          <w:b/>
          <w:color w:val="222222"/>
          <w:sz w:val="24"/>
          <w:szCs w:val="24"/>
          <w:lang w:eastAsia="es-AR"/>
        </w:rPr>
      </w:pPr>
      <w:r w:rsidRPr="00CD18C2">
        <w:rPr>
          <w:rFonts w:ascii="Times New Roman" w:eastAsia="Times New Roman" w:hAnsi="Times New Roman" w:cs="Times New Roman"/>
          <w:b/>
          <w:color w:val="222222"/>
          <w:sz w:val="24"/>
          <w:szCs w:val="24"/>
          <w:lang w:eastAsia="es-AR"/>
        </w:rPr>
        <w:t>ASOCIACIÓN DE REVISTAS CULTURALES E INDEPENDIENTES</w:t>
      </w:r>
    </w:p>
    <w:p w14:paraId="2E1706DF" w14:textId="77777777" w:rsidR="00CD18C2" w:rsidRDefault="00CD18C2" w:rsidP="006007D6">
      <w:pPr>
        <w:shd w:val="clear" w:color="auto" w:fill="FFFFFF"/>
        <w:spacing w:after="0" w:line="360" w:lineRule="auto"/>
        <w:jc w:val="both"/>
        <w:rPr>
          <w:rFonts w:ascii="Times New Roman" w:eastAsia="Times New Roman" w:hAnsi="Times New Roman" w:cs="Times New Roman"/>
          <w:color w:val="222222"/>
          <w:sz w:val="24"/>
          <w:szCs w:val="24"/>
          <w:lang w:eastAsia="es-AR"/>
        </w:rPr>
      </w:pPr>
    </w:p>
    <w:p w14:paraId="446F6870" w14:textId="77777777" w:rsidR="00983A89" w:rsidRDefault="006007D6" w:rsidP="006007D6">
      <w:pPr>
        <w:shd w:val="clear" w:color="auto" w:fill="FFFFFF"/>
        <w:spacing w:after="0" w:line="360" w:lineRule="auto"/>
        <w:jc w:val="both"/>
        <w:rPr>
          <w:rFonts w:ascii="Times New Roman" w:eastAsia="Times New Roman" w:hAnsi="Times New Roman" w:cs="Times New Roman"/>
          <w:bCs/>
          <w:color w:val="222222"/>
          <w:sz w:val="24"/>
          <w:szCs w:val="24"/>
          <w:lang w:eastAsia="es-AR"/>
        </w:rPr>
      </w:pPr>
      <w:r>
        <w:rPr>
          <w:rFonts w:ascii="Times New Roman" w:eastAsia="Times New Roman" w:hAnsi="Times New Roman" w:cs="Times New Roman"/>
          <w:color w:val="222222"/>
          <w:sz w:val="24"/>
          <w:szCs w:val="24"/>
          <w:lang w:eastAsia="es-AR"/>
        </w:rPr>
        <w:tab/>
        <w:t xml:space="preserve">En relación al </w:t>
      </w:r>
      <w:r w:rsidRPr="006007D6">
        <w:rPr>
          <w:rFonts w:ascii="Times New Roman" w:eastAsia="Times New Roman" w:hAnsi="Times New Roman" w:cs="Times New Roman"/>
          <w:b/>
          <w:bCs/>
          <w:color w:val="222222"/>
          <w:sz w:val="24"/>
          <w:szCs w:val="24"/>
          <w:lang w:eastAsia="es-AR"/>
        </w:rPr>
        <w:t xml:space="preserve">PROTOCOLO DE ACTUACIÓN DE LAS FUERZAS DE SEGURIDAD DEL ESTADO EN MANIFESTACIONES PÚBLICAS </w:t>
      </w:r>
      <w:r>
        <w:rPr>
          <w:rFonts w:ascii="Times New Roman" w:eastAsia="Times New Roman" w:hAnsi="Times New Roman" w:cs="Times New Roman"/>
          <w:bCs/>
          <w:color w:val="222222"/>
          <w:sz w:val="24"/>
          <w:szCs w:val="24"/>
          <w:lang w:eastAsia="es-AR"/>
        </w:rPr>
        <w:t>emanado de</w:t>
      </w:r>
      <w:r w:rsidR="00983A89">
        <w:rPr>
          <w:rFonts w:ascii="Times New Roman" w:eastAsia="Times New Roman" w:hAnsi="Times New Roman" w:cs="Times New Roman"/>
          <w:bCs/>
          <w:color w:val="222222"/>
          <w:sz w:val="24"/>
          <w:szCs w:val="24"/>
          <w:lang w:eastAsia="es-AR"/>
        </w:rPr>
        <w:t xml:space="preserve"> </w:t>
      </w:r>
      <w:r>
        <w:rPr>
          <w:rFonts w:ascii="Times New Roman" w:eastAsia="Times New Roman" w:hAnsi="Times New Roman" w:cs="Times New Roman"/>
          <w:bCs/>
          <w:color w:val="222222"/>
          <w:sz w:val="24"/>
          <w:szCs w:val="24"/>
          <w:lang w:eastAsia="es-AR"/>
        </w:rPr>
        <w:t>l</w:t>
      </w:r>
      <w:r w:rsidR="00983A89">
        <w:rPr>
          <w:rFonts w:ascii="Times New Roman" w:eastAsia="Times New Roman" w:hAnsi="Times New Roman" w:cs="Times New Roman"/>
          <w:bCs/>
          <w:color w:val="222222"/>
          <w:sz w:val="24"/>
          <w:szCs w:val="24"/>
          <w:lang w:eastAsia="es-AR"/>
        </w:rPr>
        <w:t>a</w:t>
      </w:r>
      <w:r>
        <w:rPr>
          <w:rFonts w:ascii="Times New Roman" w:eastAsia="Times New Roman" w:hAnsi="Times New Roman" w:cs="Times New Roman"/>
          <w:bCs/>
          <w:color w:val="222222"/>
          <w:sz w:val="24"/>
          <w:szCs w:val="24"/>
          <w:lang w:eastAsia="es-AR"/>
        </w:rPr>
        <w:t xml:space="preserve"> Ministr</w:t>
      </w:r>
      <w:r w:rsidR="00983A89">
        <w:rPr>
          <w:rFonts w:ascii="Times New Roman" w:eastAsia="Times New Roman" w:hAnsi="Times New Roman" w:cs="Times New Roman"/>
          <w:bCs/>
          <w:color w:val="222222"/>
          <w:sz w:val="24"/>
          <w:szCs w:val="24"/>
          <w:lang w:eastAsia="es-AR"/>
        </w:rPr>
        <w:t>a</w:t>
      </w:r>
      <w:r>
        <w:rPr>
          <w:rFonts w:ascii="Times New Roman" w:eastAsia="Times New Roman" w:hAnsi="Times New Roman" w:cs="Times New Roman"/>
          <w:bCs/>
          <w:color w:val="222222"/>
          <w:sz w:val="24"/>
          <w:szCs w:val="24"/>
          <w:lang w:eastAsia="es-AR"/>
        </w:rPr>
        <w:t xml:space="preserve"> de Seguridad de la Nación</w:t>
      </w:r>
      <w:r w:rsidR="00983A89">
        <w:rPr>
          <w:rFonts w:ascii="Times New Roman" w:eastAsia="Times New Roman" w:hAnsi="Times New Roman" w:cs="Times New Roman"/>
          <w:bCs/>
          <w:color w:val="222222"/>
          <w:sz w:val="24"/>
          <w:szCs w:val="24"/>
          <w:lang w:eastAsia="es-AR"/>
        </w:rPr>
        <w:t xml:space="preserve"> </w:t>
      </w:r>
      <w:r>
        <w:rPr>
          <w:rFonts w:ascii="Times New Roman" w:eastAsia="Times New Roman" w:hAnsi="Times New Roman" w:cs="Times New Roman"/>
          <w:bCs/>
          <w:color w:val="222222"/>
          <w:sz w:val="24"/>
          <w:szCs w:val="24"/>
          <w:lang w:eastAsia="es-AR"/>
        </w:rPr>
        <w:t>Dra</w:t>
      </w:r>
      <w:r w:rsidR="00983A89">
        <w:rPr>
          <w:rFonts w:ascii="Times New Roman" w:eastAsia="Times New Roman" w:hAnsi="Times New Roman" w:cs="Times New Roman"/>
          <w:bCs/>
          <w:color w:val="222222"/>
          <w:sz w:val="24"/>
          <w:szCs w:val="24"/>
          <w:lang w:eastAsia="es-AR"/>
        </w:rPr>
        <w:t xml:space="preserve">. Patricia Bullrich y que, en el marco de la primera reunión del Consejo de Seguridad de Interior celebrada en la ciudad de </w:t>
      </w:r>
      <w:r w:rsidR="00983A89" w:rsidRPr="006007D6">
        <w:rPr>
          <w:rFonts w:ascii="Times New Roman" w:eastAsia="Times New Roman" w:hAnsi="Times New Roman" w:cs="Times New Roman"/>
          <w:color w:val="222222"/>
          <w:sz w:val="24"/>
          <w:szCs w:val="24"/>
          <w:lang w:eastAsia="es-AR"/>
        </w:rPr>
        <w:t xml:space="preserve">Bariloche </w:t>
      </w:r>
      <w:r w:rsidR="00983A89">
        <w:rPr>
          <w:rFonts w:ascii="Times New Roman" w:eastAsia="Times New Roman" w:hAnsi="Times New Roman" w:cs="Times New Roman"/>
          <w:color w:val="222222"/>
          <w:sz w:val="24"/>
          <w:szCs w:val="24"/>
          <w:lang w:eastAsia="es-AR"/>
        </w:rPr>
        <w:t xml:space="preserve">el </w:t>
      </w:r>
      <w:r w:rsidR="00983A89" w:rsidRPr="006007D6">
        <w:rPr>
          <w:rFonts w:ascii="Times New Roman" w:eastAsia="Times New Roman" w:hAnsi="Times New Roman" w:cs="Times New Roman"/>
          <w:color w:val="222222"/>
          <w:sz w:val="24"/>
          <w:szCs w:val="24"/>
          <w:lang w:eastAsia="es-AR"/>
        </w:rPr>
        <w:t>17 de febrero de 2016</w:t>
      </w:r>
      <w:r w:rsidR="00983A89">
        <w:rPr>
          <w:rFonts w:ascii="Times New Roman" w:eastAsia="Times New Roman" w:hAnsi="Times New Roman" w:cs="Times New Roman"/>
          <w:bCs/>
          <w:color w:val="222222"/>
          <w:sz w:val="24"/>
          <w:szCs w:val="24"/>
          <w:lang w:eastAsia="es-AR"/>
        </w:rPr>
        <w:t>, Provincias argentinas adhirieron, decimos:</w:t>
      </w:r>
    </w:p>
    <w:p w14:paraId="010658D9" w14:textId="77777777" w:rsidR="00983A89" w:rsidRDefault="00983A89" w:rsidP="006007D6">
      <w:pPr>
        <w:shd w:val="clear" w:color="auto" w:fill="FFFFFF"/>
        <w:spacing w:after="0" w:line="360" w:lineRule="auto"/>
        <w:jc w:val="both"/>
        <w:rPr>
          <w:rFonts w:ascii="Times New Roman" w:eastAsia="Times New Roman" w:hAnsi="Times New Roman" w:cs="Times New Roman"/>
          <w:color w:val="222222"/>
          <w:sz w:val="24"/>
          <w:szCs w:val="24"/>
          <w:lang w:eastAsia="es-AR"/>
        </w:rPr>
      </w:pPr>
    </w:p>
    <w:p w14:paraId="4F65B1EE" w14:textId="44394EB0" w:rsidR="00171F23" w:rsidRPr="00171F23" w:rsidRDefault="00171F23" w:rsidP="00171F23">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A.</w:t>
      </w:r>
      <w:r>
        <w:rPr>
          <w:rFonts w:ascii="Times New Roman" w:eastAsia="Times New Roman" w:hAnsi="Times New Roman" w:cs="Times New Roman"/>
          <w:b/>
          <w:color w:val="222222"/>
          <w:sz w:val="24"/>
          <w:szCs w:val="24"/>
          <w:lang w:eastAsia="es-AR"/>
        </w:rPr>
        <w:tab/>
        <w:t>OTRA VEZ LA LIBERTAD DE EXPRESIÓN EN PELIGRO</w:t>
      </w:r>
    </w:p>
    <w:p w14:paraId="3235A773" w14:textId="77777777" w:rsidR="00171F23" w:rsidRDefault="00171F23" w:rsidP="006007D6">
      <w:pPr>
        <w:shd w:val="clear" w:color="auto" w:fill="FFFFFF"/>
        <w:spacing w:after="0" w:line="360" w:lineRule="auto"/>
        <w:jc w:val="both"/>
        <w:rPr>
          <w:rFonts w:ascii="Times New Roman" w:eastAsia="Times New Roman" w:hAnsi="Times New Roman" w:cs="Times New Roman"/>
          <w:color w:val="222222"/>
          <w:sz w:val="24"/>
          <w:szCs w:val="24"/>
          <w:lang w:eastAsia="es-AR"/>
        </w:rPr>
      </w:pPr>
    </w:p>
    <w:p w14:paraId="29B112A0" w14:textId="7AC68025" w:rsidR="009C6618" w:rsidRDefault="00171F23" w:rsidP="006007D6">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1.</w:t>
      </w:r>
      <w:r w:rsidR="00983A89">
        <w:rPr>
          <w:rFonts w:ascii="Times New Roman" w:eastAsia="Times New Roman" w:hAnsi="Times New Roman" w:cs="Times New Roman"/>
          <w:b/>
          <w:color w:val="222222"/>
          <w:sz w:val="24"/>
          <w:szCs w:val="24"/>
          <w:lang w:eastAsia="es-AR"/>
        </w:rPr>
        <w:tab/>
      </w:r>
      <w:r w:rsidR="009C6618">
        <w:rPr>
          <w:rFonts w:ascii="Times New Roman" w:eastAsia="Times New Roman" w:hAnsi="Times New Roman" w:cs="Times New Roman"/>
          <w:color w:val="222222"/>
          <w:sz w:val="24"/>
          <w:szCs w:val="24"/>
          <w:lang w:eastAsia="es-AR"/>
        </w:rPr>
        <w:t xml:space="preserve">El llamado ‘PROTOCOLO’ no existe. No tiene entidad jurídica. Es solo una declaración en los medios de comunicación y posteo en la web del Ministerio de Seguridad. Nada mas. Eso alcanzó para que ya dos personas se encuentren procesados por la justicia argentina invocando el Protocolo Fantasma. </w:t>
      </w:r>
      <w:r w:rsidR="00305C3E">
        <w:rPr>
          <w:rFonts w:ascii="Times New Roman" w:eastAsia="Times New Roman" w:hAnsi="Times New Roman" w:cs="Times New Roman"/>
          <w:color w:val="222222"/>
          <w:sz w:val="24"/>
          <w:szCs w:val="24"/>
          <w:lang w:eastAsia="es-AR"/>
        </w:rPr>
        <w:t xml:space="preserve">Es decir se aplicó de facto. </w:t>
      </w:r>
      <w:r w:rsidR="009C6618">
        <w:rPr>
          <w:rFonts w:ascii="Times New Roman" w:eastAsia="Times New Roman" w:hAnsi="Times New Roman" w:cs="Times New Roman"/>
          <w:color w:val="222222"/>
          <w:sz w:val="24"/>
          <w:szCs w:val="24"/>
          <w:lang w:eastAsia="es-AR"/>
        </w:rPr>
        <w:t>Dejamos en claro que lo que se pretende con esta provocación es, en primer lugar, desalentar la participación en movilizaciones y, en segundo lugar, enviar un claro mensaje de impunidad.</w:t>
      </w:r>
    </w:p>
    <w:p w14:paraId="545DCF4C" w14:textId="057206F3" w:rsidR="005A4B8E"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2</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 xml:space="preserve">Esto ya se discutió y ya lo discutimos. En 2003 presentamos ante diferentes organismos  nacionales e internacionales un informe contra la criminalización de la protesta social. Ese informe fue entregado, entre otros, al Relator de Libertad de Expresión de la </w:t>
      </w:r>
      <w:r w:rsidR="007C2563">
        <w:rPr>
          <w:rFonts w:ascii="Times New Roman" w:eastAsia="Times New Roman" w:hAnsi="Times New Roman" w:cs="Times New Roman"/>
          <w:color w:val="222222"/>
          <w:sz w:val="24"/>
          <w:szCs w:val="24"/>
          <w:lang w:eastAsia="es-AR"/>
        </w:rPr>
        <w:t>Comisión Interamericana de Derechos Humanos [en adelante ‘</w:t>
      </w:r>
      <w:r w:rsidR="00CD18C2" w:rsidRPr="00CD18C2">
        <w:rPr>
          <w:rFonts w:ascii="Times New Roman" w:eastAsia="Times New Roman" w:hAnsi="Times New Roman" w:cs="Times New Roman"/>
          <w:color w:val="222222"/>
          <w:sz w:val="24"/>
          <w:szCs w:val="24"/>
          <w:lang w:eastAsia="es-AR"/>
        </w:rPr>
        <w:t>CIDH</w:t>
      </w:r>
      <w:r w:rsidR="007C2563">
        <w:rPr>
          <w:rFonts w:ascii="Times New Roman" w:eastAsia="Times New Roman" w:hAnsi="Times New Roman" w:cs="Times New Roman"/>
          <w:color w:val="222222"/>
          <w:sz w:val="24"/>
          <w:szCs w:val="24"/>
          <w:lang w:eastAsia="es-AR"/>
        </w:rPr>
        <w:t>’]</w:t>
      </w:r>
      <w:r w:rsidR="00CD18C2" w:rsidRPr="00CD18C2">
        <w:rPr>
          <w:rFonts w:ascii="Times New Roman" w:eastAsia="Times New Roman" w:hAnsi="Times New Roman" w:cs="Times New Roman"/>
          <w:color w:val="222222"/>
          <w:sz w:val="24"/>
          <w:szCs w:val="24"/>
          <w:lang w:eastAsia="es-AR"/>
        </w:rPr>
        <w:t xml:space="preserve">, que acordó con nuestro planteo. Tanto, que en 2005 la CIDH, que no se había pronunciado sobre los "protocolos" que intentaban limitar las manifestaciones, elaboró entonces un documento que establece claramente que los gobiernos no pueden limitar de ninguna manera las manifestaciones realizadas en el espacio público. </w:t>
      </w:r>
      <w:r w:rsidR="005A4B8E">
        <w:rPr>
          <w:rFonts w:ascii="Times New Roman" w:eastAsia="Times New Roman" w:hAnsi="Times New Roman" w:cs="Times New Roman"/>
          <w:color w:val="222222"/>
          <w:sz w:val="24"/>
          <w:szCs w:val="24"/>
          <w:lang w:eastAsia="es-AR"/>
        </w:rPr>
        <w:t xml:space="preserve">Comienza diciendo: </w:t>
      </w:r>
    </w:p>
    <w:p w14:paraId="7067FBD6" w14:textId="611DD5B0" w:rsidR="005A4B8E" w:rsidRDefault="005A4B8E" w:rsidP="009C6618">
      <w:pPr>
        <w:shd w:val="clear" w:color="auto" w:fill="FFFFFF"/>
        <w:spacing w:after="0" w:line="360" w:lineRule="auto"/>
        <w:ind w:left="709" w:right="283"/>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 xml:space="preserve">Los sectores mas empobrecidos de nuestro hemisferio confrontan políticas y acciones discriminatorias, y en general los canales tradicionales de participación para ser públicas sus denuncias se ven muchas veces cercenados. Ante este escenario, en muchos paises del hemisferio, la protesta y la movilización social se ha constituido como herramienta de petición a la autoridad pública </w:t>
      </w:r>
      <w:r w:rsidR="009C6618">
        <w:rPr>
          <w:rFonts w:ascii="Times New Roman" w:eastAsia="Times New Roman" w:hAnsi="Times New Roman" w:cs="Times New Roman"/>
          <w:color w:val="222222"/>
          <w:sz w:val="24"/>
          <w:szCs w:val="24"/>
          <w:lang w:eastAsia="es-AR"/>
        </w:rPr>
        <w:t>y también como estrategia de denuncia pública sobre abusos y violaciones a derechos humanos.</w:t>
      </w:r>
    </w:p>
    <w:p w14:paraId="22B6FD3D" w14:textId="77777777" w:rsidR="009C6618" w:rsidRDefault="009C6618" w:rsidP="009C6618">
      <w:pPr>
        <w:shd w:val="clear" w:color="auto" w:fill="FFFFFF"/>
        <w:spacing w:after="0" w:line="360" w:lineRule="auto"/>
        <w:ind w:left="709" w:right="283"/>
        <w:jc w:val="both"/>
        <w:rPr>
          <w:rFonts w:ascii="Times New Roman" w:eastAsia="Times New Roman" w:hAnsi="Times New Roman" w:cs="Times New Roman"/>
          <w:color w:val="222222"/>
          <w:sz w:val="24"/>
          <w:szCs w:val="24"/>
          <w:lang w:eastAsia="es-AR"/>
        </w:rPr>
      </w:pPr>
    </w:p>
    <w:p w14:paraId="31FC50D3" w14:textId="37C714E2" w:rsidR="009C6618"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lastRenderedPageBreak/>
        <w:t>3</w:t>
      </w:r>
      <w:r w:rsidR="009C6618" w:rsidRPr="009C6618">
        <w:rPr>
          <w:rFonts w:ascii="Times New Roman" w:eastAsia="Times New Roman" w:hAnsi="Times New Roman" w:cs="Times New Roman"/>
          <w:b/>
          <w:color w:val="222222"/>
          <w:sz w:val="24"/>
          <w:szCs w:val="24"/>
          <w:lang w:eastAsia="es-AR"/>
        </w:rPr>
        <w:t>.</w:t>
      </w:r>
      <w:r w:rsidR="009C6618">
        <w:rPr>
          <w:rFonts w:ascii="Times New Roman" w:eastAsia="Times New Roman" w:hAnsi="Times New Roman" w:cs="Times New Roman"/>
          <w:color w:val="222222"/>
          <w:sz w:val="24"/>
          <w:szCs w:val="24"/>
          <w:lang w:eastAsia="es-AR"/>
        </w:rPr>
        <w:tab/>
        <w:t xml:space="preserve">La CIDH también se pronuncia sobre la obligación del Estado de proteger el trabajo de la prensa y </w:t>
      </w:r>
      <w:r w:rsidR="00CD18C2" w:rsidRPr="00CD18C2">
        <w:rPr>
          <w:rFonts w:ascii="Times New Roman" w:eastAsia="Times New Roman" w:hAnsi="Times New Roman" w:cs="Times New Roman"/>
          <w:color w:val="222222"/>
          <w:sz w:val="24"/>
          <w:szCs w:val="24"/>
          <w:lang w:eastAsia="es-AR"/>
        </w:rPr>
        <w:t>especifica</w:t>
      </w:r>
      <w:r w:rsidR="009C6618">
        <w:rPr>
          <w:rFonts w:ascii="Times New Roman" w:eastAsia="Times New Roman" w:hAnsi="Times New Roman" w:cs="Times New Roman"/>
          <w:color w:val="222222"/>
          <w:sz w:val="24"/>
          <w:szCs w:val="24"/>
          <w:lang w:eastAsia="es-AR"/>
        </w:rPr>
        <w:t>:</w:t>
      </w:r>
      <w:r w:rsidR="00CD18C2" w:rsidRPr="00CD18C2">
        <w:rPr>
          <w:rFonts w:ascii="Times New Roman" w:eastAsia="Times New Roman" w:hAnsi="Times New Roman" w:cs="Times New Roman"/>
          <w:color w:val="222222"/>
          <w:sz w:val="24"/>
          <w:szCs w:val="24"/>
          <w:lang w:eastAsia="es-AR"/>
        </w:rPr>
        <w:t xml:space="preserve"> </w:t>
      </w:r>
    </w:p>
    <w:p w14:paraId="55533DAC" w14:textId="1118C396" w:rsidR="00983A89" w:rsidRDefault="009C6618" w:rsidP="009C6618">
      <w:pPr>
        <w:shd w:val="clear" w:color="auto" w:fill="FFFFFF"/>
        <w:spacing w:after="0" w:line="360" w:lineRule="auto"/>
        <w:ind w:left="709" w:right="425"/>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[E]</w:t>
      </w:r>
      <w:r w:rsidRPr="00CD18C2">
        <w:rPr>
          <w:rFonts w:ascii="Times New Roman" w:eastAsia="Times New Roman" w:hAnsi="Times New Roman" w:cs="Times New Roman"/>
          <w:color w:val="222222"/>
          <w:sz w:val="24"/>
          <w:szCs w:val="24"/>
          <w:lang w:eastAsia="es-AR"/>
        </w:rPr>
        <w:t xml:space="preserve"> </w:t>
      </w:r>
      <w:r w:rsidR="00CD18C2" w:rsidRPr="00CD18C2">
        <w:rPr>
          <w:rFonts w:ascii="Times New Roman" w:eastAsia="Times New Roman" w:hAnsi="Times New Roman" w:cs="Times New Roman"/>
          <w:color w:val="222222"/>
          <w:sz w:val="24"/>
          <w:szCs w:val="24"/>
          <w:lang w:eastAsia="es-AR"/>
        </w:rPr>
        <w:t>n relación con los periodistas y camarógrafos que se encuentran realizando su labor en el marco de una manifestación pública, no deben ser molestados, detenidos, trasladados o sufrir cualquier otra limitación a sus derechos por estar ejerciendo su profesión</w:t>
      </w:r>
      <w:r w:rsidR="00CB10CC" w:rsidRPr="00CD18C2">
        <w:rPr>
          <w:rStyle w:val="Refdenotaalpie"/>
          <w:rFonts w:ascii="Times New Roman" w:hAnsi="Times New Roman" w:cs="Times New Roman"/>
          <w:sz w:val="24"/>
          <w:szCs w:val="24"/>
        </w:rPr>
        <w:footnoteReference w:id="1"/>
      </w:r>
      <w:r w:rsidR="00CD18C2" w:rsidRPr="00CD18C2">
        <w:rPr>
          <w:rFonts w:ascii="Times New Roman" w:eastAsia="Times New Roman" w:hAnsi="Times New Roman" w:cs="Times New Roman"/>
          <w:color w:val="222222"/>
          <w:sz w:val="24"/>
          <w:szCs w:val="24"/>
          <w:lang w:eastAsia="es-AR"/>
        </w:rPr>
        <w:t>. </w:t>
      </w:r>
    </w:p>
    <w:p w14:paraId="7571E3FF" w14:textId="1B661E3A"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4</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Todos los gobiernos desde 2001 hasta acá han intentado limitar la expresión disidente. Fracasaron. No pudieron hacerlo porque es ilegal, anticonstitucional y constituye una violación a las normas internacionales. Este tampoco podrá hacerlo porque será denunciado en  todas esas instancias por nosotros y por todas las organizaciones que defienden estos derechos básicos para una democracia.</w:t>
      </w:r>
    </w:p>
    <w:p w14:paraId="2D4498C9" w14:textId="68072F0C"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5</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Al no poder hacerlo, el Estado argentino trasladó a la justicia esa intención de establecer quien puede y quien no puede expresar su opinión disidente, criminalizando penalmente la protesta social. Recordemos la frase del entonces ministro Alberto Fernández. "Vamos a reprimir la protesta social con el Código Penal en la mano", que significó, entre otras violaciones, el encarcelamiento arbitrario de 23 vendedoras y vendedores ambulantes y mujeres en situación de prostitución que, luego de padecer prisión 1 año, al llegar a la instancia oral ni fueron acusadas por el fiscal por carecer de pruebas para sostener los cargos. Hay muchos más casos y todos siguieron idéntico proceso: no pudieron sostener la legalidad, pero si garantizar que estas personas estén arbitrariamente encarceladas durante largo tiempo. Para esas personas el proceso es la condena.</w:t>
      </w:r>
    </w:p>
    <w:p w14:paraId="3BA62745" w14:textId="2AC8CF86"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6</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 xml:space="preserve">Hoy el caso más paradojal lo representa  un  fiscal </w:t>
      </w:r>
      <w:r w:rsidR="00983A89">
        <w:rPr>
          <w:rFonts w:ascii="Times New Roman" w:eastAsia="Times New Roman" w:hAnsi="Times New Roman" w:cs="Times New Roman"/>
          <w:color w:val="222222"/>
          <w:sz w:val="24"/>
          <w:szCs w:val="24"/>
          <w:lang w:eastAsia="es-AR"/>
        </w:rPr>
        <w:t xml:space="preserve">federal </w:t>
      </w:r>
      <w:r w:rsidR="00CD18C2" w:rsidRPr="00CD18C2">
        <w:rPr>
          <w:rFonts w:ascii="Times New Roman" w:eastAsia="Times New Roman" w:hAnsi="Times New Roman" w:cs="Times New Roman"/>
          <w:color w:val="222222"/>
          <w:sz w:val="24"/>
          <w:szCs w:val="24"/>
          <w:lang w:eastAsia="es-AR"/>
        </w:rPr>
        <w:t xml:space="preserve">de </w:t>
      </w:r>
      <w:r w:rsidR="00983A89">
        <w:rPr>
          <w:rFonts w:ascii="Times New Roman" w:eastAsia="Times New Roman" w:hAnsi="Times New Roman" w:cs="Times New Roman"/>
          <w:color w:val="222222"/>
          <w:sz w:val="24"/>
          <w:szCs w:val="24"/>
          <w:lang w:eastAsia="es-AR"/>
        </w:rPr>
        <w:t>Río Negro</w:t>
      </w:r>
      <w:r w:rsidR="00CD18C2" w:rsidRPr="00CD18C2">
        <w:rPr>
          <w:rFonts w:ascii="Times New Roman" w:eastAsia="Times New Roman" w:hAnsi="Times New Roman" w:cs="Times New Roman"/>
          <w:color w:val="222222"/>
          <w:sz w:val="24"/>
          <w:szCs w:val="24"/>
          <w:lang w:eastAsia="es-AR"/>
        </w:rPr>
        <w:t xml:space="preserve"> que procesa a manifestantes, pero luego él mismo participa en una manifestación convocada por el sector judicial con motivo de la muerte de Nisman. Queda claro, entonces, expuesto así obscenamente, que lo que se pretende establecer es que hay quienes pueden expresar su opinión libremente y qui</w:t>
      </w:r>
      <w:r w:rsidR="007C2563">
        <w:rPr>
          <w:rFonts w:ascii="Times New Roman" w:eastAsia="Times New Roman" w:hAnsi="Times New Roman" w:cs="Times New Roman"/>
          <w:color w:val="222222"/>
          <w:sz w:val="24"/>
          <w:szCs w:val="24"/>
          <w:lang w:eastAsia="es-AR"/>
        </w:rPr>
        <w:t>é</w:t>
      </w:r>
      <w:r w:rsidR="00CD18C2" w:rsidRPr="00CD18C2">
        <w:rPr>
          <w:rFonts w:ascii="Times New Roman" w:eastAsia="Times New Roman" w:hAnsi="Times New Roman" w:cs="Times New Roman"/>
          <w:color w:val="222222"/>
          <w:sz w:val="24"/>
          <w:szCs w:val="24"/>
          <w:lang w:eastAsia="es-AR"/>
        </w:rPr>
        <w:t>nes no. </w:t>
      </w:r>
    </w:p>
    <w:p w14:paraId="703D4A25" w14:textId="22E8BCFE"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7</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¿Quiénes no pueden? Qui</w:t>
      </w:r>
      <w:r w:rsidR="00CB10CC">
        <w:rPr>
          <w:rFonts w:ascii="Times New Roman" w:eastAsia="Times New Roman" w:hAnsi="Times New Roman" w:cs="Times New Roman"/>
          <w:color w:val="222222"/>
          <w:sz w:val="24"/>
          <w:szCs w:val="24"/>
          <w:lang w:eastAsia="es-AR"/>
        </w:rPr>
        <w:t>é</w:t>
      </w:r>
      <w:r w:rsidR="00CD18C2" w:rsidRPr="00CD18C2">
        <w:rPr>
          <w:rFonts w:ascii="Times New Roman" w:eastAsia="Times New Roman" w:hAnsi="Times New Roman" w:cs="Times New Roman"/>
          <w:color w:val="222222"/>
          <w:sz w:val="24"/>
          <w:szCs w:val="24"/>
          <w:lang w:eastAsia="es-AR"/>
        </w:rPr>
        <w:t xml:space="preserve">nes son los sujetos sometidos al bozal que pretende colocar este protocolo? Sabemos la respuesta: los que reclaman derechos que las políticas estatales destrozan. Son los mismos sectores que estigmatiza la prensa comercial, corporativa, sin darle espacio para difundir sus demandas ni propuestas. Así, estos Protocolos vienen a cerrar la boca de quienes sólo encuentran en el espacio público un escenario para presentar sus </w:t>
      </w:r>
      <w:r w:rsidR="00CD18C2" w:rsidRPr="00CD18C2">
        <w:rPr>
          <w:rFonts w:ascii="Times New Roman" w:eastAsia="Times New Roman" w:hAnsi="Times New Roman" w:cs="Times New Roman"/>
          <w:color w:val="222222"/>
          <w:sz w:val="24"/>
          <w:szCs w:val="24"/>
          <w:lang w:eastAsia="es-AR"/>
        </w:rPr>
        <w:lastRenderedPageBreak/>
        <w:t>reclamos. Protocolo y concentración de medios son parte de una misma máquina que se activa para reducir la democracia a una aristocracia corporativa.</w:t>
      </w:r>
    </w:p>
    <w:p w14:paraId="7A52639A" w14:textId="05088AF1"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8</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La CIDH ya ha definido que es la manifestación en el espacio público la que garantiza el funcionamiento de la democracia y que, por lo tanto, es obligación de los Estados no limitarla. De alguna manera el documento de la CIDH, digamos, funciona como un Protocolo al revés: limita a los Estados, para que no censuren ni repriman manifestaciones que son la expresión más legítima de la vida democrática.</w:t>
      </w:r>
    </w:p>
    <w:p w14:paraId="45C3F605" w14:textId="74CD4989"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9</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En ese marco, preguntamos hace ya 12 años y reiteramos ahora: ¿de quién es la libertad de expresión? Respondemos: De la sociedad. No es exclusiva del periodismo y muchos menos de las empresas. Es un bien social y como tal está protegido y garantizado por las más altas normas jurídicas nacional e internacionales.</w:t>
      </w:r>
    </w:p>
    <w:p w14:paraId="09C1E706" w14:textId="2B7D7E35" w:rsidR="00CD18C2" w:rsidRP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10</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Nosotras, personas que representamos a la comunicación social, entendemos que por eso mismo fuimos blanco de los ataques más brutales en todos estos años. Cuando se expresa la sociedad, ahí estamos. Y es eso justamente lo que se intenta violentar con estos Protocolos: Son la letra escrita que reprime y censura, al mismo tiempo. Esto es lo que sufrimos durante el desalojo de Sala Alberdi y la invasión al Hospital Borda, por citar dos ejemplos recientes durante los cuales las y los trabajadores de prensa fueron heridos y detenidos y la información, cercenada.</w:t>
      </w:r>
    </w:p>
    <w:p w14:paraId="6EC89669" w14:textId="5088855B" w:rsid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11</w:t>
      </w:r>
      <w:r w:rsidR="00983A89">
        <w:rPr>
          <w:rFonts w:ascii="Times New Roman" w:eastAsia="Times New Roman" w:hAnsi="Times New Roman" w:cs="Times New Roman"/>
          <w:b/>
          <w:color w:val="222222"/>
          <w:sz w:val="24"/>
          <w:szCs w:val="24"/>
          <w:lang w:eastAsia="es-AR"/>
        </w:rPr>
        <w:t>.</w:t>
      </w:r>
      <w:r w:rsidR="00983A89">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 xml:space="preserve">Pero queremos advertir: este protocolo ya se aplicó. </w:t>
      </w:r>
      <w:r w:rsidR="00D9459C">
        <w:rPr>
          <w:rFonts w:ascii="Times New Roman" w:eastAsia="Times New Roman" w:hAnsi="Times New Roman" w:cs="Times New Roman"/>
          <w:color w:val="222222"/>
          <w:sz w:val="24"/>
          <w:szCs w:val="24"/>
          <w:lang w:eastAsia="es-AR"/>
        </w:rPr>
        <w:t>La primera vez f</w:t>
      </w:r>
      <w:r w:rsidR="00CD18C2" w:rsidRPr="00CD18C2">
        <w:rPr>
          <w:rFonts w:ascii="Times New Roman" w:eastAsia="Times New Roman" w:hAnsi="Times New Roman" w:cs="Times New Roman"/>
          <w:color w:val="222222"/>
          <w:sz w:val="24"/>
          <w:szCs w:val="24"/>
          <w:lang w:eastAsia="es-AR"/>
        </w:rPr>
        <w:t>ue en Neuquén. Con qué saldó? El asesinato del docente Fuentealba</w:t>
      </w:r>
      <w:r w:rsidR="00B67315">
        <w:rPr>
          <w:rFonts w:ascii="Times New Roman" w:eastAsia="Times New Roman" w:hAnsi="Times New Roman" w:cs="Times New Roman"/>
          <w:color w:val="222222"/>
          <w:sz w:val="24"/>
          <w:szCs w:val="24"/>
          <w:lang w:eastAsia="es-AR"/>
        </w:rPr>
        <w:t xml:space="preserve"> y</w:t>
      </w:r>
      <w:r w:rsidR="00CD18C2" w:rsidRPr="00CD18C2">
        <w:rPr>
          <w:rFonts w:ascii="Times New Roman" w:eastAsia="Times New Roman" w:hAnsi="Times New Roman" w:cs="Times New Roman"/>
          <w:color w:val="222222"/>
          <w:sz w:val="24"/>
          <w:szCs w:val="24"/>
          <w:lang w:eastAsia="es-AR"/>
        </w:rPr>
        <w:t xml:space="preserve"> la condena de los agentes policiales que dispararon.</w:t>
      </w:r>
      <w:r w:rsidR="00D9459C">
        <w:rPr>
          <w:rFonts w:ascii="Times New Roman" w:eastAsia="Times New Roman" w:hAnsi="Times New Roman" w:cs="Times New Roman"/>
          <w:color w:val="222222"/>
          <w:sz w:val="24"/>
          <w:szCs w:val="24"/>
          <w:lang w:eastAsia="es-AR"/>
        </w:rPr>
        <w:t xml:space="preserve"> La segunda vez que se aplicó fue en la Ciudad de Buenos Aires, en lo que todos recordamos como el violento desalojo del Parque Indo</w:t>
      </w:r>
      <w:r w:rsidR="00B67315">
        <w:rPr>
          <w:rFonts w:ascii="Times New Roman" w:eastAsia="Times New Roman" w:hAnsi="Times New Roman" w:cs="Times New Roman"/>
          <w:color w:val="222222"/>
          <w:sz w:val="24"/>
          <w:szCs w:val="24"/>
          <w:lang w:eastAsia="es-AR"/>
        </w:rPr>
        <w:t xml:space="preserve">americano, que también dejó muertos y policías procesados. Qué tienen de común estos casos? Además de los muertos, las condenas policiales, tienen en común al actual Secretario de Seguridad de Nación. </w:t>
      </w:r>
      <w:r w:rsidR="00CD18C2" w:rsidRPr="00CD18C2">
        <w:rPr>
          <w:rFonts w:ascii="Times New Roman" w:eastAsia="Times New Roman" w:hAnsi="Times New Roman" w:cs="Times New Roman"/>
          <w:color w:val="222222"/>
          <w:sz w:val="24"/>
          <w:szCs w:val="24"/>
          <w:lang w:eastAsia="es-AR"/>
        </w:rPr>
        <w:t>Qué conclusión nos deja esta tremenda lección? Para nosotros, la exigencia de que se legisle de manera tal de establecer claramente las responsabilidad de quien imparte las órdenes que, luego, derivan en muertes durante manifestaciones. Esos responsables deben tener sanción penal, porque será esta la única manera de garantizar que Nunca Más sea eso: Nunca Más.</w:t>
      </w:r>
    </w:p>
    <w:p w14:paraId="24EDA754" w14:textId="77777777" w:rsidR="00171F23"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p>
    <w:p w14:paraId="4C390DB8" w14:textId="658C8848" w:rsidR="00171F23" w:rsidRPr="00171F23" w:rsidRDefault="00171F23" w:rsidP="00CD18C2">
      <w:pPr>
        <w:shd w:val="clear" w:color="auto" w:fill="FFFFFF"/>
        <w:spacing w:after="0" w:line="360" w:lineRule="auto"/>
        <w:jc w:val="both"/>
        <w:rPr>
          <w:rFonts w:ascii="Times New Roman" w:eastAsia="Times New Roman" w:hAnsi="Times New Roman" w:cs="Times New Roman"/>
          <w:b/>
          <w:color w:val="222222"/>
          <w:sz w:val="24"/>
          <w:szCs w:val="24"/>
          <w:lang w:eastAsia="es-AR"/>
        </w:rPr>
      </w:pPr>
      <w:r w:rsidRPr="00171F23">
        <w:rPr>
          <w:rFonts w:ascii="Times New Roman" w:eastAsia="Times New Roman" w:hAnsi="Times New Roman" w:cs="Times New Roman"/>
          <w:b/>
          <w:color w:val="222222"/>
          <w:sz w:val="24"/>
          <w:szCs w:val="24"/>
          <w:lang w:eastAsia="es-AR"/>
        </w:rPr>
        <w:t>B.</w:t>
      </w:r>
      <w:r>
        <w:rPr>
          <w:rFonts w:ascii="Times New Roman" w:eastAsia="Times New Roman" w:hAnsi="Times New Roman" w:cs="Times New Roman"/>
          <w:color w:val="222222"/>
          <w:sz w:val="24"/>
          <w:szCs w:val="24"/>
          <w:lang w:eastAsia="es-AR"/>
        </w:rPr>
        <w:tab/>
      </w:r>
      <w:r>
        <w:rPr>
          <w:rFonts w:ascii="Times New Roman" w:eastAsia="Times New Roman" w:hAnsi="Times New Roman" w:cs="Times New Roman"/>
          <w:b/>
          <w:color w:val="222222"/>
          <w:sz w:val="24"/>
          <w:szCs w:val="24"/>
          <w:lang w:eastAsia="es-AR"/>
        </w:rPr>
        <w:t>FUNDAMENTOS CONSTITUCIONALES Y DEMOCRÁTICOS DE LA ILEGALIDAD DEL ‘PROTOCOLO’</w:t>
      </w:r>
    </w:p>
    <w:p w14:paraId="6BDC32CE" w14:textId="2D752E36" w:rsidR="00040D34" w:rsidRPr="00040D34" w:rsidRDefault="00171F23" w:rsidP="00040D34">
      <w:pPr>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lastRenderedPageBreak/>
        <w:t>1</w:t>
      </w:r>
      <w:r w:rsidR="00154B1C">
        <w:rPr>
          <w:rFonts w:ascii="Times New Roman" w:eastAsia="Times New Roman" w:hAnsi="Times New Roman" w:cs="Times New Roman"/>
          <w:b/>
          <w:color w:val="222222"/>
          <w:sz w:val="24"/>
          <w:szCs w:val="24"/>
          <w:lang w:eastAsia="es-AR"/>
        </w:rPr>
        <w:t>.</w:t>
      </w:r>
      <w:r w:rsidR="00154B1C">
        <w:rPr>
          <w:rFonts w:ascii="Times New Roman" w:eastAsia="Times New Roman" w:hAnsi="Times New Roman" w:cs="Times New Roman"/>
          <w:b/>
          <w:color w:val="222222"/>
          <w:sz w:val="24"/>
          <w:szCs w:val="24"/>
          <w:lang w:eastAsia="es-AR"/>
        </w:rPr>
        <w:tab/>
      </w:r>
      <w:r w:rsidR="00040D34">
        <w:rPr>
          <w:rFonts w:ascii="Times New Roman" w:eastAsia="Times New Roman" w:hAnsi="Times New Roman" w:cs="Times New Roman"/>
          <w:color w:val="222222"/>
          <w:sz w:val="24"/>
          <w:szCs w:val="24"/>
          <w:lang w:eastAsia="es-AR"/>
        </w:rPr>
        <w:t>H</w:t>
      </w:r>
      <w:r w:rsidR="00154B1C">
        <w:rPr>
          <w:rFonts w:ascii="Times New Roman" w:eastAsia="Times New Roman" w:hAnsi="Times New Roman" w:cs="Times New Roman"/>
          <w:color w:val="222222"/>
          <w:sz w:val="24"/>
          <w:szCs w:val="24"/>
          <w:lang w:eastAsia="es-AR"/>
        </w:rPr>
        <w:t>ablar de Democracia</w:t>
      </w:r>
      <w:r w:rsidR="00040D34">
        <w:rPr>
          <w:rFonts w:ascii="Times New Roman" w:eastAsia="Times New Roman" w:hAnsi="Times New Roman" w:cs="Times New Roman"/>
          <w:color w:val="222222"/>
          <w:sz w:val="24"/>
          <w:szCs w:val="24"/>
          <w:lang w:eastAsia="es-AR"/>
        </w:rPr>
        <w:t xml:space="preserve"> es </w:t>
      </w:r>
      <w:r w:rsidR="00154B1C">
        <w:rPr>
          <w:rFonts w:ascii="Times New Roman" w:eastAsia="Times New Roman" w:hAnsi="Times New Roman" w:cs="Times New Roman"/>
          <w:color w:val="222222"/>
          <w:sz w:val="24"/>
          <w:szCs w:val="24"/>
          <w:lang w:eastAsia="es-AR"/>
        </w:rPr>
        <w:t xml:space="preserve">hablar de Constitución. </w:t>
      </w:r>
      <w:r w:rsidR="00040D34">
        <w:rPr>
          <w:rFonts w:ascii="Times New Roman" w:eastAsia="Times New Roman" w:hAnsi="Times New Roman" w:cs="Times New Roman"/>
          <w:color w:val="222222"/>
          <w:sz w:val="24"/>
          <w:szCs w:val="24"/>
          <w:lang w:eastAsia="es-AR"/>
        </w:rPr>
        <w:t xml:space="preserve">Según la </w:t>
      </w:r>
      <w:r w:rsidR="00040D34" w:rsidRPr="00040D34">
        <w:rPr>
          <w:rFonts w:ascii="Times New Roman" w:eastAsia="Times New Roman" w:hAnsi="Times New Roman" w:cs="Times New Roman"/>
          <w:b/>
          <w:color w:val="222222"/>
          <w:sz w:val="24"/>
          <w:szCs w:val="24"/>
          <w:lang w:eastAsia="es-AR"/>
        </w:rPr>
        <w:t>Carta Democrática Interamericana</w:t>
      </w:r>
      <w:r w:rsidR="00040D34" w:rsidRPr="00CD18C2">
        <w:rPr>
          <w:rStyle w:val="Refdenotaalpie"/>
          <w:rFonts w:ascii="Times New Roman" w:hAnsi="Times New Roman" w:cs="Times New Roman"/>
          <w:sz w:val="24"/>
          <w:szCs w:val="24"/>
        </w:rPr>
        <w:footnoteReference w:id="2"/>
      </w:r>
      <w:r w:rsidR="00040D34">
        <w:rPr>
          <w:rFonts w:ascii="Times New Roman" w:eastAsia="Times New Roman" w:hAnsi="Times New Roman" w:cs="Times New Roman"/>
          <w:color w:val="222222"/>
          <w:sz w:val="24"/>
          <w:szCs w:val="24"/>
          <w:lang w:eastAsia="es-AR"/>
        </w:rPr>
        <w:t xml:space="preserve"> </w:t>
      </w:r>
      <w:r w:rsidR="00B562D0">
        <w:rPr>
          <w:rFonts w:ascii="Times New Roman" w:eastAsia="Times New Roman" w:hAnsi="Times New Roman" w:cs="Times New Roman"/>
          <w:color w:val="222222"/>
          <w:sz w:val="24"/>
          <w:szCs w:val="24"/>
          <w:lang w:eastAsia="es-AR"/>
        </w:rPr>
        <w:t xml:space="preserve">los </w:t>
      </w:r>
      <w:r w:rsidR="00040D34" w:rsidRPr="00040D34">
        <w:rPr>
          <w:rFonts w:ascii="Times New Roman" w:eastAsia="Times New Roman" w:hAnsi="Times New Roman" w:cs="Times New Roman"/>
          <w:color w:val="222222"/>
          <w:sz w:val="24"/>
          <w:szCs w:val="24"/>
          <w:lang w:eastAsia="es-AR"/>
        </w:rPr>
        <w:t xml:space="preserve">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 Pero además </w:t>
      </w:r>
      <w:r w:rsidR="00040D34">
        <w:rPr>
          <w:rFonts w:ascii="Times New Roman" w:eastAsia="Times New Roman" w:hAnsi="Times New Roman" w:cs="Times New Roman"/>
          <w:color w:val="222222"/>
          <w:sz w:val="24"/>
          <w:szCs w:val="24"/>
          <w:lang w:eastAsia="es-AR"/>
        </w:rPr>
        <w:t>l</w:t>
      </w:r>
      <w:r w:rsidR="00040D34" w:rsidRPr="00040D34">
        <w:rPr>
          <w:rFonts w:ascii="Times New Roman" w:eastAsia="Times New Roman" w:hAnsi="Times New Roman" w:cs="Times New Roman"/>
          <w:color w:val="222222"/>
          <w:sz w:val="24"/>
          <w:szCs w:val="24"/>
          <w:lang w:eastAsia="es-AR"/>
        </w:rPr>
        <w:t>a subordinación constitucional de todas las instituciones del Estado a la autoridad civil legalmente constituida y el respeto al estado de derecho de todas las entidades y sectores de la sociedad son igualmente fundamentales para la democracia.</w:t>
      </w:r>
    </w:p>
    <w:p w14:paraId="79960032" w14:textId="12631198" w:rsidR="00154B1C" w:rsidRPr="00154B1C" w:rsidRDefault="00171F23" w:rsidP="00154B1C">
      <w:pPr>
        <w:shd w:val="clear" w:color="auto" w:fill="FFFFFF"/>
        <w:spacing w:after="0" w:line="360" w:lineRule="auto"/>
        <w:jc w:val="both"/>
        <w:rPr>
          <w:rFonts w:ascii="Times New Roman" w:eastAsia="Times New Roman" w:hAnsi="Times New Roman" w:cs="Times New Roman"/>
          <w:color w:val="222222"/>
          <w:sz w:val="24"/>
          <w:szCs w:val="24"/>
          <w:lang w:val="es-ES_tradnl" w:eastAsia="es-AR"/>
        </w:rPr>
      </w:pPr>
      <w:r>
        <w:rPr>
          <w:rFonts w:ascii="Times New Roman" w:eastAsia="Times New Roman" w:hAnsi="Times New Roman" w:cs="Times New Roman"/>
          <w:b/>
          <w:color w:val="222222"/>
          <w:sz w:val="24"/>
          <w:szCs w:val="24"/>
          <w:lang w:eastAsia="es-AR"/>
        </w:rPr>
        <w:t>2</w:t>
      </w:r>
      <w:r w:rsidR="00154B1C">
        <w:rPr>
          <w:rFonts w:ascii="Times New Roman" w:eastAsia="Times New Roman" w:hAnsi="Times New Roman" w:cs="Times New Roman"/>
          <w:b/>
          <w:color w:val="222222"/>
          <w:sz w:val="24"/>
          <w:szCs w:val="24"/>
          <w:lang w:eastAsia="es-AR"/>
        </w:rPr>
        <w:t>.</w:t>
      </w:r>
      <w:r w:rsidR="00154B1C">
        <w:rPr>
          <w:rFonts w:ascii="Times New Roman" w:eastAsia="Times New Roman" w:hAnsi="Times New Roman" w:cs="Times New Roman"/>
          <w:b/>
          <w:color w:val="222222"/>
          <w:sz w:val="24"/>
          <w:szCs w:val="24"/>
          <w:lang w:eastAsia="es-AR"/>
        </w:rPr>
        <w:tab/>
      </w:r>
      <w:r w:rsidR="00B562D0">
        <w:rPr>
          <w:rFonts w:ascii="Times New Roman" w:eastAsia="Times New Roman" w:hAnsi="Times New Roman" w:cs="Times New Roman"/>
          <w:color w:val="222222"/>
          <w:sz w:val="24"/>
          <w:szCs w:val="24"/>
          <w:lang w:eastAsia="es-AR"/>
        </w:rPr>
        <w:t>Según indica el Dr. Carlos F. Ronsenkranz</w:t>
      </w:r>
      <w:r w:rsidR="00B562D0" w:rsidRPr="00CD18C2">
        <w:rPr>
          <w:rStyle w:val="Refdenotaalpie"/>
          <w:rFonts w:ascii="Times New Roman" w:hAnsi="Times New Roman" w:cs="Times New Roman"/>
          <w:sz w:val="24"/>
          <w:szCs w:val="24"/>
        </w:rPr>
        <w:footnoteReference w:id="3"/>
      </w:r>
      <w:r w:rsidR="00B562D0">
        <w:rPr>
          <w:rFonts w:ascii="Times New Roman" w:eastAsia="Times New Roman" w:hAnsi="Times New Roman" w:cs="Times New Roman"/>
          <w:color w:val="222222"/>
          <w:sz w:val="24"/>
          <w:szCs w:val="24"/>
          <w:lang w:eastAsia="es-AR"/>
        </w:rPr>
        <w:t xml:space="preserve">, designado por Decreto para ocupar </w:t>
      </w:r>
      <w:r w:rsidR="00154B1C">
        <w:rPr>
          <w:rFonts w:ascii="Times New Roman" w:eastAsia="Times New Roman" w:hAnsi="Times New Roman" w:cs="Times New Roman"/>
          <w:color w:val="222222"/>
          <w:sz w:val="24"/>
          <w:szCs w:val="24"/>
          <w:lang w:eastAsia="es-AR"/>
        </w:rPr>
        <w:t xml:space="preserve">la Corte Suprema de Justicia de la Nación, </w:t>
      </w:r>
      <w:r w:rsidR="00B562D0">
        <w:rPr>
          <w:rFonts w:ascii="Times New Roman" w:eastAsia="Times New Roman" w:hAnsi="Times New Roman" w:cs="Times New Roman"/>
          <w:color w:val="222222"/>
          <w:sz w:val="24"/>
          <w:szCs w:val="24"/>
          <w:lang w:eastAsia="es-AR"/>
        </w:rPr>
        <w:t xml:space="preserve">se puede </w:t>
      </w:r>
      <w:r w:rsidR="00154B1C">
        <w:rPr>
          <w:rFonts w:ascii="Times New Roman" w:eastAsia="Times New Roman" w:hAnsi="Times New Roman" w:cs="Times New Roman"/>
          <w:color w:val="222222"/>
          <w:sz w:val="24"/>
          <w:szCs w:val="24"/>
          <w:lang w:eastAsia="es-AR"/>
        </w:rPr>
        <w:t>distinguir tres concepciones de la democracia constitucional</w:t>
      </w:r>
      <w:r w:rsidR="008620E4">
        <w:rPr>
          <w:rFonts w:ascii="Times New Roman" w:eastAsia="Times New Roman" w:hAnsi="Times New Roman" w:cs="Times New Roman"/>
          <w:color w:val="222222"/>
          <w:sz w:val="24"/>
          <w:szCs w:val="24"/>
          <w:lang w:eastAsia="es-AR"/>
        </w:rPr>
        <w:t xml:space="preserve"> y a partir de allí </w:t>
      </w:r>
      <w:r w:rsidR="00B562D0">
        <w:rPr>
          <w:rFonts w:ascii="Times New Roman" w:eastAsia="Times New Roman" w:hAnsi="Times New Roman" w:cs="Times New Roman"/>
          <w:color w:val="222222"/>
          <w:sz w:val="24"/>
          <w:szCs w:val="24"/>
          <w:lang w:eastAsia="es-AR"/>
        </w:rPr>
        <w:t>establecer el límite de</w:t>
      </w:r>
      <w:r w:rsidR="008620E4">
        <w:rPr>
          <w:rFonts w:ascii="Times New Roman" w:eastAsia="Times New Roman" w:hAnsi="Times New Roman" w:cs="Times New Roman"/>
          <w:color w:val="222222"/>
          <w:sz w:val="24"/>
          <w:szCs w:val="24"/>
          <w:lang w:eastAsia="es-AR"/>
        </w:rPr>
        <w:t>l control de los actos de las autoridades</w:t>
      </w:r>
      <w:r w:rsidR="00154B1C">
        <w:rPr>
          <w:rFonts w:ascii="Times New Roman" w:eastAsia="Times New Roman" w:hAnsi="Times New Roman" w:cs="Times New Roman"/>
          <w:color w:val="222222"/>
          <w:sz w:val="24"/>
          <w:szCs w:val="24"/>
          <w:lang w:eastAsia="es-AR"/>
        </w:rPr>
        <w:t>.</w:t>
      </w:r>
      <w:r w:rsidR="00876F66">
        <w:rPr>
          <w:rFonts w:ascii="Times New Roman" w:eastAsia="Times New Roman" w:hAnsi="Times New Roman" w:cs="Times New Roman"/>
          <w:color w:val="222222"/>
          <w:sz w:val="24"/>
          <w:szCs w:val="24"/>
          <w:lang w:eastAsia="es-AR"/>
        </w:rPr>
        <w:t xml:space="preserve"> </w:t>
      </w:r>
      <w:r w:rsidR="00E4521B">
        <w:rPr>
          <w:rFonts w:ascii="Times New Roman" w:eastAsia="Times New Roman" w:hAnsi="Times New Roman" w:cs="Times New Roman"/>
          <w:color w:val="222222"/>
          <w:sz w:val="24"/>
          <w:szCs w:val="24"/>
          <w:lang w:eastAsia="es-AR"/>
        </w:rPr>
        <w:t>Una teoría democrática constitucional denominada ‘</w:t>
      </w:r>
      <w:r w:rsidR="00154B1C" w:rsidRPr="00154B1C">
        <w:rPr>
          <w:rFonts w:ascii="Times New Roman" w:eastAsia="Times New Roman" w:hAnsi="Times New Roman" w:cs="Times New Roman"/>
          <w:color w:val="222222"/>
          <w:sz w:val="24"/>
          <w:szCs w:val="24"/>
          <w:lang w:val="es-ES_tradnl" w:eastAsia="es-AR"/>
        </w:rPr>
        <w:t>monista</w:t>
      </w:r>
      <w:r w:rsidR="00E4521B">
        <w:rPr>
          <w:rFonts w:ascii="Times New Roman" w:eastAsia="Times New Roman" w:hAnsi="Times New Roman" w:cs="Times New Roman"/>
          <w:color w:val="222222"/>
          <w:sz w:val="24"/>
          <w:szCs w:val="24"/>
          <w:lang w:val="es-ES_tradnl" w:eastAsia="es-AR"/>
        </w:rPr>
        <w:t>’</w:t>
      </w:r>
      <w:r w:rsidR="00154B1C" w:rsidRPr="00154B1C">
        <w:rPr>
          <w:rFonts w:ascii="Times New Roman" w:eastAsia="Times New Roman" w:hAnsi="Times New Roman" w:cs="Times New Roman"/>
          <w:color w:val="222222"/>
          <w:sz w:val="24"/>
          <w:szCs w:val="24"/>
          <w:lang w:val="es-ES_tradnl" w:eastAsia="es-AR"/>
        </w:rPr>
        <w:t xml:space="preserve"> reconoce en los poderes políticos la voluntad del pueblo, sin diferenciar entre la voluntad del pueblo a la de sus </w:t>
      </w:r>
      <w:r w:rsidR="008620E4">
        <w:rPr>
          <w:rFonts w:ascii="Times New Roman" w:eastAsia="Times New Roman" w:hAnsi="Times New Roman" w:cs="Times New Roman"/>
          <w:color w:val="222222"/>
          <w:sz w:val="24"/>
          <w:szCs w:val="24"/>
          <w:lang w:val="es-ES_tradnl" w:eastAsia="es-AR"/>
        </w:rPr>
        <w:t>re</w:t>
      </w:r>
      <w:r w:rsidR="00154B1C" w:rsidRPr="00154B1C">
        <w:rPr>
          <w:rFonts w:ascii="Times New Roman" w:eastAsia="Times New Roman" w:hAnsi="Times New Roman" w:cs="Times New Roman"/>
          <w:color w:val="222222"/>
          <w:sz w:val="24"/>
          <w:szCs w:val="24"/>
          <w:lang w:val="es-ES_tradnl" w:eastAsia="es-AR"/>
        </w:rPr>
        <w:t>presentantes. Todo lo que expresen los representantes de ese pueblo a través de los actos del Poder Ejecutivo o del Poder Legislativo –leyes- no puede ser controlado por un Poder anti-mayoritario como es el Poder Judicial. Solo puede controlar que los procedimientos utilizados por los poderes políticos hayan garantizado la participación de tod</w:t>
      </w:r>
      <w:r w:rsidR="00E4521B">
        <w:rPr>
          <w:rFonts w:ascii="Times New Roman" w:eastAsia="Times New Roman" w:hAnsi="Times New Roman" w:cs="Times New Roman"/>
          <w:color w:val="222222"/>
          <w:sz w:val="24"/>
          <w:szCs w:val="24"/>
          <w:lang w:val="es-ES_tradnl" w:eastAsia="es-AR"/>
        </w:rPr>
        <w:t>a</w:t>
      </w:r>
      <w:r w:rsidR="00154B1C" w:rsidRPr="00154B1C">
        <w:rPr>
          <w:rFonts w:ascii="Times New Roman" w:eastAsia="Times New Roman" w:hAnsi="Times New Roman" w:cs="Times New Roman"/>
          <w:color w:val="222222"/>
          <w:sz w:val="24"/>
          <w:szCs w:val="24"/>
          <w:lang w:val="es-ES_tradnl" w:eastAsia="es-AR"/>
        </w:rPr>
        <w:t>s</w:t>
      </w:r>
      <w:r w:rsidR="00E4521B">
        <w:rPr>
          <w:rFonts w:ascii="Times New Roman" w:eastAsia="Times New Roman" w:hAnsi="Times New Roman" w:cs="Times New Roman"/>
          <w:color w:val="222222"/>
          <w:sz w:val="24"/>
          <w:szCs w:val="24"/>
          <w:lang w:val="es-ES_tradnl" w:eastAsia="es-AR"/>
        </w:rPr>
        <w:t xml:space="preserve"> las personas</w:t>
      </w:r>
      <w:r w:rsidR="00154B1C" w:rsidRPr="00154B1C">
        <w:rPr>
          <w:rFonts w:ascii="Times New Roman" w:eastAsia="Times New Roman" w:hAnsi="Times New Roman" w:cs="Times New Roman"/>
          <w:color w:val="222222"/>
          <w:sz w:val="24"/>
          <w:szCs w:val="24"/>
          <w:lang w:val="es-ES_tradnl" w:eastAsia="es-AR"/>
        </w:rPr>
        <w:t>.</w:t>
      </w:r>
    </w:p>
    <w:p w14:paraId="0A9265A5" w14:textId="7F36D56B" w:rsidR="00154B1C" w:rsidRPr="00154B1C" w:rsidRDefault="00171F23" w:rsidP="00154B1C">
      <w:pPr>
        <w:shd w:val="clear" w:color="auto" w:fill="FFFFFF"/>
        <w:spacing w:after="0" w:line="360" w:lineRule="auto"/>
        <w:jc w:val="both"/>
        <w:rPr>
          <w:rFonts w:ascii="Times New Roman" w:eastAsia="Times New Roman" w:hAnsi="Times New Roman" w:cs="Times New Roman"/>
          <w:color w:val="222222"/>
          <w:sz w:val="24"/>
          <w:szCs w:val="24"/>
          <w:lang w:val="es-ES_tradnl" w:eastAsia="es-AR"/>
        </w:rPr>
      </w:pPr>
      <w:r>
        <w:rPr>
          <w:rFonts w:ascii="Times New Roman" w:eastAsia="Times New Roman" w:hAnsi="Times New Roman" w:cs="Times New Roman"/>
          <w:b/>
          <w:color w:val="222222"/>
          <w:sz w:val="24"/>
          <w:szCs w:val="24"/>
          <w:lang w:val="es-ES_tradnl" w:eastAsia="es-AR"/>
        </w:rPr>
        <w:t>3</w:t>
      </w:r>
      <w:r w:rsidR="008620E4">
        <w:rPr>
          <w:rFonts w:ascii="Times New Roman" w:eastAsia="Times New Roman" w:hAnsi="Times New Roman" w:cs="Times New Roman"/>
          <w:b/>
          <w:color w:val="222222"/>
          <w:sz w:val="24"/>
          <w:szCs w:val="24"/>
          <w:lang w:val="es-ES_tradnl" w:eastAsia="es-AR"/>
        </w:rPr>
        <w:t>.</w:t>
      </w:r>
      <w:r w:rsidR="00154B1C" w:rsidRPr="00154B1C">
        <w:rPr>
          <w:rFonts w:ascii="Times New Roman" w:eastAsia="Times New Roman" w:hAnsi="Times New Roman" w:cs="Times New Roman"/>
          <w:color w:val="222222"/>
          <w:sz w:val="24"/>
          <w:szCs w:val="24"/>
          <w:lang w:val="es-ES_tradnl" w:eastAsia="es-AR"/>
        </w:rPr>
        <w:tab/>
      </w:r>
      <w:r w:rsidR="008620E4">
        <w:rPr>
          <w:rFonts w:ascii="Times New Roman" w:eastAsia="Times New Roman" w:hAnsi="Times New Roman" w:cs="Times New Roman"/>
          <w:color w:val="222222"/>
          <w:sz w:val="24"/>
          <w:szCs w:val="24"/>
          <w:lang w:val="es-ES_tradnl" w:eastAsia="es-AR"/>
        </w:rPr>
        <w:t xml:space="preserve">Para una segunda </w:t>
      </w:r>
      <w:r w:rsidR="00E4521B">
        <w:rPr>
          <w:rFonts w:ascii="Times New Roman" w:eastAsia="Times New Roman" w:hAnsi="Times New Roman" w:cs="Times New Roman"/>
          <w:color w:val="222222"/>
          <w:sz w:val="24"/>
          <w:szCs w:val="24"/>
          <w:lang w:val="es-ES_tradnl" w:eastAsia="es-AR"/>
        </w:rPr>
        <w:t xml:space="preserve">teoría </w:t>
      </w:r>
      <w:r w:rsidR="008620E4">
        <w:rPr>
          <w:rFonts w:ascii="Times New Roman" w:eastAsia="Times New Roman" w:hAnsi="Times New Roman" w:cs="Times New Roman"/>
          <w:color w:val="222222"/>
          <w:sz w:val="24"/>
          <w:szCs w:val="24"/>
          <w:lang w:val="es-ES_tradnl" w:eastAsia="es-AR"/>
        </w:rPr>
        <w:t xml:space="preserve">denominada </w:t>
      </w:r>
      <w:r w:rsidR="00E4521B">
        <w:rPr>
          <w:rFonts w:ascii="Times New Roman" w:eastAsia="Times New Roman" w:hAnsi="Times New Roman" w:cs="Times New Roman"/>
          <w:color w:val="222222"/>
          <w:sz w:val="24"/>
          <w:szCs w:val="24"/>
          <w:lang w:val="es-ES_tradnl" w:eastAsia="es-AR"/>
        </w:rPr>
        <w:t>‘</w:t>
      </w:r>
      <w:r w:rsidR="00154B1C" w:rsidRPr="00154B1C">
        <w:rPr>
          <w:rFonts w:ascii="Times New Roman" w:eastAsia="Times New Roman" w:hAnsi="Times New Roman" w:cs="Times New Roman"/>
          <w:color w:val="222222"/>
          <w:sz w:val="24"/>
          <w:szCs w:val="24"/>
          <w:lang w:val="es-ES_tradnl" w:eastAsia="es-AR"/>
        </w:rPr>
        <w:t>dualista</w:t>
      </w:r>
      <w:r w:rsidR="00E4521B">
        <w:rPr>
          <w:rFonts w:ascii="Times New Roman" w:eastAsia="Times New Roman" w:hAnsi="Times New Roman" w:cs="Times New Roman"/>
          <w:color w:val="222222"/>
          <w:sz w:val="24"/>
          <w:szCs w:val="24"/>
          <w:lang w:val="es-ES_tradnl" w:eastAsia="es-AR"/>
        </w:rPr>
        <w:t>’</w:t>
      </w:r>
      <w:r w:rsidR="008620E4">
        <w:rPr>
          <w:rFonts w:ascii="Times New Roman" w:eastAsia="Times New Roman" w:hAnsi="Times New Roman" w:cs="Times New Roman"/>
          <w:color w:val="222222"/>
          <w:sz w:val="24"/>
          <w:szCs w:val="24"/>
          <w:lang w:val="es-ES_tradnl" w:eastAsia="es-AR"/>
        </w:rPr>
        <w:t>,</w:t>
      </w:r>
      <w:r w:rsidR="00154B1C" w:rsidRPr="00154B1C">
        <w:rPr>
          <w:rFonts w:ascii="Times New Roman" w:eastAsia="Times New Roman" w:hAnsi="Times New Roman" w:cs="Times New Roman"/>
          <w:color w:val="222222"/>
          <w:sz w:val="24"/>
          <w:szCs w:val="24"/>
          <w:lang w:val="es-ES_tradnl" w:eastAsia="es-AR"/>
        </w:rPr>
        <w:t xml:space="preserve"> la voluntad del pueblo reside en los poderes políticos pero distinguiendo la voluntad de los representantes </w:t>
      </w:r>
      <w:r w:rsidR="00E4521B">
        <w:rPr>
          <w:rFonts w:ascii="Times New Roman" w:eastAsia="Times New Roman" w:hAnsi="Times New Roman" w:cs="Times New Roman"/>
          <w:color w:val="222222"/>
          <w:sz w:val="24"/>
          <w:szCs w:val="24"/>
          <w:lang w:val="es-ES_tradnl" w:eastAsia="es-AR"/>
        </w:rPr>
        <w:t xml:space="preserve">a la del </w:t>
      </w:r>
      <w:r w:rsidR="00154B1C" w:rsidRPr="00154B1C">
        <w:rPr>
          <w:rFonts w:ascii="Times New Roman" w:eastAsia="Times New Roman" w:hAnsi="Times New Roman" w:cs="Times New Roman"/>
          <w:color w:val="222222"/>
          <w:sz w:val="24"/>
          <w:szCs w:val="24"/>
          <w:lang w:val="es-ES_tradnl" w:eastAsia="es-AR"/>
        </w:rPr>
        <w:t xml:space="preserve">pueblo. </w:t>
      </w:r>
      <w:r w:rsidR="00E4521B">
        <w:rPr>
          <w:rFonts w:ascii="Times New Roman" w:eastAsia="Times New Roman" w:hAnsi="Times New Roman" w:cs="Times New Roman"/>
          <w:color w:val="222222"/>
          <w:sz w:val="24"/>
          <w:szCs w:val="24"/>
          <w:lang w:val="es-ES_tradnl" w:eastAsia="es-AR"/>
        </w:rPr>
        <w:t xml:space="preserve">Por ello diferencia </w:t>
      </w:r>
      <w:r w:rsidR="00154B1C" w:rsidRPr="00154B1C">
        <w:rPr>
          <w:rFonts w:ascii="Times New Roman" w:eastAsia="Times New Roman" w:hAnsi="Times New Roman" w:cs="Times New Roman"/>
          <w:color w:val="222222"/>
          <w:sz w:val="24"/>
          <w:szCs w:val="24"/>
          <w:lang w:val="es-ES_tradnl" w:eastAsia="es-AR"/>
        </w:rPr>
        <w:t>dos clases de decisiones: las que adopta el pueblo en momentos de alta legitimidad ciudadana, movilizada y activa de aquellas decisiones ‘corrientes’ que adoptan los poderes políticos. Aquellos momentos los denomina ‘momentos constitucionales’ que el Poder Judicial debe identificar a fin de preservar las decisiones adoptadas en tale</w:t>
      </w:r>
      <w:r w:rsidR="00B562D0">
        <w:rPr>
          <w:rFonts w:ascii="Times New Roman" w:eastAsia="Times New Roman" w:hAnsi="Times New Roman" w:cs="Times New Roman"/>
          <w:color w:val="222222"/>
          <w:sz w:val="24"/>
          <w:szCs w:val="24"/>
          <w:lang w:val="es-ES_tradnl" w:eastAsia="es-AR"/>
        </w:rPr>
        <w:t>s</w:t>
      </w:r>
      <w:r w:rsidR="00154B1C" w:rsidRPr="00154B1C">
        <w:rPr>
          <w:rFonts w:ascii="Times New Roman" w:eastAsia="Times New Roman" w:hAnsi="Times New Roman" w:cs="Times New Roman"/>
          <w:color w:val="222222"/>
          <w:sz w:val="24"/>
          <w:szCs w:val="24"/>
          <w:lang w:val="es-ES_tradnl" w:eastAsia="es-AR"/>
        </w:rPr>
        <w:t xml:space="preserve"> momentos.</w:t>
      </w:r>
    </w:p>
    <w:p w14:paraId="2D521893" w14:textId="090FD162" w:rsidR="00154B1C" w:rsidRPr="00154B1C" w:rsidRDefault="00171F23" w:rsidP="00154B1C">
      <w:pPr>
        <w:shd w:val="clear" w:color="auto" w:fill="FFFFFF"/>
        <w:spacing w:after="0" w:line="360" w:lineRule="auto"/>
        <w:jc w:val="both"/>
        <w:rPr>
          <w:rFonts w:ascii="Times New Roman" w:eastAsia="Times New Roman" w:hAnsi="Times New Roman" w:cs="Times New Roman"/>
          <w:color w:val="222222"/>
          <w:sz w:val="24"/>
          <w:szCs w:val="24"/>
          <w:lang w:val="es-ES_tradnl" w:eastAsia="es-AR"/>
        </w:rPr>
      </w:pPr>
      <w:r>
        <w:rPr>
          <w:rFonts w:ascii="Times New Roman" w:eastAsia="Times New Roman" w:hAnsi="Times New Roman" w:cs="Times New Roman"/>
          <w:b/>
          <w:color w:val="222222"/>
          <w:sz w:val="24"/>
          <w:szCs w:val="24"/>
          <w:lang w:val="es-ES_tradnl" w:eastAsia="es-AR"/>
        </w:rPr>
        <w:t>4</w:t>
      </w:r>
      <w:r w:rsidR="008620E4">
        <w:rPr>
          <w:rFonts w:ascii="Times New Roman" w:eastAsia="Times New Roman" w:hAnsi="Times New Roman" w:cs="Times New Roman"/>
          <w:b/>
          <w:color w:val="222222"/>
          <w:sz w:val="24"/>
          <w:szCs w:val="24"/>
          <w:lang w:val="es-ES_tradnl" w:eastAsia="es-AR"/>
        </w:rPr>
        <w:t xml:space="preserve">. </w:t>
      </w:r>
      <w:r w:rsidR="00154B1C" w:rsidRPr="00154B1C">
        <w:rPr>
          <w:rFonts w:ascii="Times New Roman" w:eastAsia="Times New Roman" w:hAnsi="Times New Roman" w:cs="Times New Roman"/>
          <w:color w:val="222222"/>
          <w:sz w:val="24"/>
          <w:szCs w:val="24"/>
          <w:lang w:val="es-ES_tradnl" w:eastAsia="es-AR"/>
        </w:rPr>
        <w:tab/>
      </w:r>
      <w:r w:rsidR="008620E4">
        <w:rPr>
          <w:rFonts w:ascii="Times New Roman" w:eastAsia="Times New Roman" w:hAnsi="Times New Roman" w:cs="Times New Roman"/>
          <w:color w:val="222222"/>
          <w:sz w:val="24"/>
          <w:szCs w:val="24"/>
          <w:lang w:val="es-ES_tradnl" w:eastAsia="es-AR"/>
        </w:rPr>
        <w:t>Finalmente</w:t>
      </w:r>
      <w:r w:rsidR="00E4521B">
        <w:rPr>
          <w:rFonts w:ascii="Times New Roman" w:eastAsia="Times New Roman" w:hAnsi="Times New Roman" w:cs="Times New Roman"/>
          <w:color w:val="222222"/>
          <w:sz w:val="24"/>
          <w:szCs w:val="24"/>
          <w:lang w:val="es-ES_tradnl" w:eastAsia="es-AR"/>
        </w:rPr>
        <w:t>,</w:t>
      </w:r>
      <w:r w:rsidR="008620E4">
        <w:rPr>
          <w:rFonts w:ascii="Times New Roman" w:eastAsia="Times New Roman" w:hAnsi="Times New Roman" w:cs="Times New Roman"/>
          <w:color w:val="222222"/>
          <w:sz w:val="24"/>
          <w:szCs w:val="24"/>
          <w:lang w:val="es-ES_tradnl" w:eastAsia="es-AR"/>
        </w:rPr>
        <w:t xml:space="preserve"> una tercer</w:t>
      </w:r>
      <w:r w:rsidR="00E4521B">
        <w:rPr>
          <w:rFonts w:ascii="Times New Roman" w:eastAsia="Times New Roman" w:hAnsi="Times New Roman" w:cs="Times New Roman"/>
          <w:color w:val="222222"/>
          <w:sz w:val="24"/>
          <w:szCs w:val="24"/>
          <w:lang w:val="es-ES_tradnl" w:eastAsia="es-AR"/>
        </w:rPr>
        <w:t xml:space="preserve">a teoría democrática constitucional </w:t>
      </w:r>
      <w:r w:rsidR="008620E4">
        <w:rPr>
          <w:rFonts w:ascii="Times New Roman" w:eastAsia="Times New Roman" w:hAnsi="Times New Roman" w:cs="Times New Roman"/>
          <w:color w:val="222222"/>
          <w:sz w:val="24"/>
          <w:szCs w:val="24"/>
          <w:lang w:val="es-ES_tradnl" w:eastAsia="es-AR"/>
        </w:rPr>
        <w:t>sostiene que</w:t>
      </w:r>
      <w:r w:rsidR="00154B1C" w:rsidRPr="00154B1C">
        <w:rPr>
          <w:rFonts w:ascii="Times New Roman" w:eastAsia="Times New Roman" w:hAnsi="Times New Roman" w:cs="Times New Roman"/>
          <w:color w:val="222222"/>
          <w:sz w:val="24"/>
          <w:szCs w:val="24"/>
          <w:lang w:val="es-ES_tradnl" w:eastAsia="es-AR"/>
        </w:rPr>
        <w:t xml:space="preserve"> la voluntad del pueblo no puede cambiar los principios más sustanciales de la Constitución actual. Estos principios son los derechos fundamentales que son la valla a la prosecución de objetivos colectivos de las instituciones democráticas. Y el Poder Judicial debe garantizar la vigencia de </w:t>
      </w:r>
      <w:r w:rsidR="00154B1C" w:rsidRPr="00154B1C">
        <w:rPr>
          <w:rFonts w:ascii="Times New Roman" w:eastAsia="Times New Roman" w:hAnsi="Times New Roman" w:cs="Times New Roman"/>
          <w:color w:val="222222"/>
          <w:sz w:val="24"/>
          <w:szCs w:val="24"/>
          <w:lang w:val="es-ES_tradnl" w:eastAsia="es-AR"/>
        </w:rPr>
        <w:lastRenderedPageBreak/>
        <w:t>tales derechos fundamentales contenidos en la Constitución y solo así puede abrirse camino el proceso democrático.</w:t>
      </w:r>
    </w:p>
    <w:p w14:paraId="41858AA1" w14:textId="3C957626" w:rsidR="00CB54B0" w:rsidRDefault="00171F23" w:rsidP="00B562D0">
      <w:pPr>
        <w:shd w:val="clear" w:color="auto" w:fill="FFFFFF"/>
        <w:spacing w:after="0" w:line="360" w:lineRule="auto"/>
        <w:jc w:val="both"/>
        <w:rPr>
          <w:rFonts w:ascii="Times New Roman" w:eastAsia="Times New Roman" w:hAnsi="Times New Roman" w:cs="Times New Roman"/>
          <w:color w:val="222222"/>
          <w:sz w:val="24"/>
          <w:szCs w:val="24"/>
          <w:lang w:val="es-ES_tradnl" w:eastAsia="es-AR"/>
        </w:rPr>
      </w:pPr>
      <w:r>
        <w:rPr>
          <w:rFonts w:ascii="Times New Roman" w:eastAsia="Times New Roman" w:hAnsi="Times New Roman" w:cs="Times New Roman"/>
          <w:b/>
          <w:color w:val="222222"/>
          <w:sz w:val="24"/>
          <w:szCs w:val="24"/>
          <w:lang w:val="es-ES_tradnl" w:eastAsia="es-AR"/>
        </w:rPr>
        <w:t>5</w:t>
      </w:r>
      <w:r w:rsidR="00E4521B">
        <w:rPr>
          <w:rFonts w:ascii="Times New Roman" w:eastAsia="Times New Roman" w:hAnsi="Times New Roman" w:cs="Times New Roman"/>
          <w:b/>
          <w:color w:val="222222"/>
          <w:sz w:val="24"/>
          <w:szCs w:val="24"/>
          <w:lang w:val="es-ES_tradnl" w:eastAsia="es-AR"/>
        </w:rPr>
        <w:t>.</w:t>
      </w:r>
      <w:r w:rsidR="00E4521B">
        <w:rPr>
          <w:rFonts w:ascii="Times New Roman" w:eastAsia="Times New Roman" w:hAnsi="Times New Roman" w:cs="Times New Roman"/>
          <w:b/>
          <w:color w:val="222222"/>
          <w:sz w:val="24"/>
          <w:szCs w:val="24"/>
          <w:lang w:val="es-ES_tradnl" w:eastAsia="es-AR"/>
        </w:rPr>
        <w:tab/>
      </w:r>
      <w:r w:rsidR="00E4521B">
        <w:rPr>
          <w:rFonts w:ascii="Times New Roman" w:eastAsia="Times New Roman" w:hAnsi="Times New Roman" w:cs="Times New Roman"/>
          <w:color w:val="222222"/>
          <w:sz w:val="24"/>
          <w:szCs w:val="24"/>
          <w:lang w:val="es-ES_tradnl" w:eastAsia="es-AR"/>
        </w:rPr>
        <w:t xml:space="preserve">El Dr. </w:t>
      </w:r>
      <w:proofErr w:type="spellStart"/>
      <w:r w:rsidR="00E4521B">
        <w:rPr>
          <w:rFonts w:ascii="Times New Roman" w:eastAsia="Times New Roman" w:hAnsi="Times New Roman" w:cs="Times New Roman"/>
          <w:color w:val="222222"/>
          <w:sz w:val="24"/>
          <w:szCs w:val="24"/>
          <w:lang w:val="es-ES_tradnl" w:eastAsia="es-AR"/>
        </w:rPr>
        <w:t>Ronsenkrantz</w:t>
      </w:r>
      <w:proofErr w:type="spellEnd"/>
      <w:r w:rsidR="00E4521B">
        <w:rPr>
          <w:rFonts w:ascii="Times New Roman" w:eastAsia="Times New Roman" w:hAnsi="Times New Roman" w:cs="Times New Roman"/>
          <w:color w:val="222222"/>
          <w:sz w:val="24"/>
          <w:szCs w:val="24"/>
          <w:lang w:val="es-ES_tradnl" w:eastAsia="es-AR"/>
        </w:rPr>
        <w:t xml:space="preserve"> adscribe a la teoría democrática constitucional ‘dualista’, que distingue la voluntad del pueblo a la de sus representantes. Y debe prevalecer la voluntad del pueblo. Y, según afirma, los jueces deben respetar tal voluntad que serán aquellas ‘iniciativas que </w:t>
      </w:r>
      <w:r w:rsidR="00CB54B0">
        <w:rPr>
          <w:rFonts w:ascii="Times New Roman" w:eastAsia="Times New Roman" w:hAnsi="Times New Roman" w:cs="Times New Roman"/>
          <w:color w:val="222222"/>
          <w:sz w:val="24"/>
          <w:szCs w:val="24"/>
          <w:lang w:val="es-ES_tradnl" w:eastAsia="es-AR"/>
        </w:rPr>
        <w:t>han obtenido la más alta legitimidad por haber sido consagradas por una ciudadanía movilizada y activa en su apoyo’</w:t>
      </w:r>
      <w:r w:rsidR="00CB54B0" w:rsidRPr="00CD18C2">
        <w:rPr>
          <w:rStyle w:val="Refdenotaalpie"/>
          <w:rFonts w:ascii="Times New Roman" w:hAnsi="Times New Roman" w:cs="Times New Roman"/>
          <w:sz w:val="24"/>
          <w:szCs w:val="24"/>
        </w:rPr>
        <w:footnoteReference w:id="4"/>
      </w:r>
      <w:r w:rsidR="00CB54B0">
        <w:rPr>
          <w:rFonts w:ascii="Times New Roman" w:eastAsia="Times New Roman" w:hAnsi="Times New Roman" w:cs="Times New Roman"/>
          <w:color w:val="222222"/>
          <w:sz w:val="24"/>
          <w:szCs w:val="24"/>
          <w:lang w:val="es-ES_tradnl" w:eastAsia="es-AR"/>
        </w:rPr>
        <w:t>.</w:t>
      </w:r>
      <w:r w:rsidR="00B562D0">
        <w:rPr>
          <w:rFonts w:ascii="Times New Roman" w:eastAsia="Times New Roman" w:hAnsi="Times New Roman" w:cs="Times New Roman"/>
          <w:color w:val="222222"/>
          <w:sz w:val="24"/>
          <w:szCs w:val="24"/>
          <w:lang w:val="es-ES_tradnl" w:eastAsia="es-AR"/>
        </w:rPr>
        <w:t xml:space="preserve"> Por ello cualquier obstáculo a la movilización de la ciudadanía será declarada inconstitucional por el Dr. </w:t>
      </w:r>
      <w:proofErr w:type="spellStart"/>
      <w:r w:rsidR="00B562D0">
        <w:rPr>
          <w:rFonts w:ascii="Times New Roman" w:eastAsia="Times New Roman" w:hAnsi="Times New Roman" w:cs="Times New Roman"/>
          <w:color w:val="222222"/>
          <w:sz w:val="24"/>
          <w:szCs w:val="24"/>
          <w:lang w:val="es-ES_tradnl" w:eastAsia="es-AR"/>
        </w:rPr>
        <w:t>Ronsenkrantz</w:t>
      </w:r>
      <w:proofErr w:type="spellEnd"/>
      <w:r w:rsidR="00B562D0">
        <w:rPr>
          <w:rFonts w:ascii="Times New Roman" w:eastAsia="Times New Roman" w:hAnsi="Times New Roman" w:cs="Times New Roman"/>
          <w:color w:val="222222"/>
          <w:sz w:val="24"/>
          <w:szCs w:val="24"/>
          <w:lang w:val="es-ES_tradnl" w:eastAsia="es-AR"/>
        </w:rPr>
        <w:t xml:space="preserve"> ya que </w:t>
      </w:r>
      <w:r w:rsidR="00111939">
        <w:rPr>
          <w:rFonts w:ascii="Times New Roman" w:eastAsia="Times New Roman" w:hAnsi="Times New Roman" w:cs="Times New Roman"/>
          <w:color w:val="222222"/>
          <w:sz w:val="24"/>
          <w:szCs w:val="24"/>
          <w:lang w:val="es-ES_tradnl" w:eastAsia="es-AR"/>
        </w:rPr>
        <w:t xml:space="preserve">él las considera </w:t>
      </w:r>
      <w:r w:rsidR="00CB54B0">
        <w:rPr>
          <w:rFonts w:ascii="Times New Roman" w:eastAsia="Times New Roman" w:hAnsi="Times New Roman" w:cs="Times New Roman"/>
          <w:color w:val="222222"/>
          <w:sz w:val="24"/>
          <w:szCs w:val="24"/>
          <w:lang w:val="es-ES_tradnl" w:eastAsia="es-AR"/>
        </w:rPr>
        <w:t xml:space="preserve">la expresión más genuina de la democracia. </w:t>
      </w:r>
    </w:p>
    <w:p w14:paraId="3B242A6A" w14:textId="77777777" w:rsidR="00CB54B0" w:rsidRPr="00CB54B0" w:rsidRDefault="00CB54B0" w:rsidP="00CD18C2">
      <w:pPr>
        <w:shd w:val="clear" w:color="auto" w:fill="FFFFFF"/>
        <w:spacing w:after="0" w:line="360" w:lineRule="auto"/>
        <w:jc w:val="both"/>
        <w:rPr>
          <w:rFonts w:ascii="Times New Roman" w:eastAsia="Times New Roman" w:hAnsi="Times New Roman" w:cs="Times New Roman"/>
          <w:color w:val="222222"/>
          <w:sz w:val="24"/>
          <w:szCs w:val="24"/>
          <w:lang w:val="es-ES_tradnl" w:eastAsia="es-AR"/>
        </w:rPr>
      </w:pPr>
    </w:p>
    <w:p w14:paraId="757BFBDF" w14:textId="7A84BA5D" w:rsidR="00750E4D" w:rsidRDefault="00171F23" w:rsidP="00CD18C2">
      <w:pPr>
        <w:shd w:val="clear" w:color="auto" w:fill="FFFFFF"/>
        <w:spacing w:after="0" w:line="360" w:lineRule="auto"/>
        <w:jc w:val="both"/>
        <w:rPr>
          <w:rFonts w:ascii="Times New Roman" w:eastAsia="Times New Roman" w:hAnsi="Times New Roman" w:cs="Times New Roman"/>
          <w:b/>
          <w:color w:val="222222"/>
          <w:sz w:val="24"/>
          <w:szCs w:val="24"/>
          <w:lang w:eastAsia="es-AR"/>
        </w:rPr>
      </w:pPr>
      <w:r>
        <w:rPr>
          <w:rFonts w:ascii="Times New Roman" w:eastAsia="Times New Roman" w:hAnsi="Times New Roman" w:cs="Times New Roman"/>
          <w:b/>
          <w:color w:val="222222"/>
          <w:sz w:val="24"/>
          <w:szCs w:val="24"/>
          <w:lang w:eastAsia="es-AR"/>
        </w:rPr>
        <w:t>C</w:t>
      </w:r>
      <w:r w:rsidR="00750E4D">
        <w:rPr>
          <w:rFonts w:ascii="Times New Roman" w:eastAsia="Times New Roman" w:hAnsi="Times New Roman" w:cs="Times New Roman"/>
          <w:b/>
          <w:color w:val="222222"/>
          <w:sz w:val="24"/>
          <w:szCs w:val="24"/>
          <w:lang w:eastAsia="es-AR"/>
        </w:rPr>
        <w:t>.</w:t>
      </w:r>
      <w:r w:rsidR="00750E4D">
        <w:rPr>
          <w:rFonts w:ascii="Times New Roman" w:eastAsia="Times New Roman" w:hAnsi="Times New Roman" w:cs="Times New Roman"/>
          <w:b/>
          <w:color w:val="222222"/>
          <w:sz w:val="24"/>
          <w:szCs w:val="24"/>
          <w:lang w:eastAsia="es-AR"/>
        </w:rPr>
        <w:tab/>
        <w:t>LA ILEGALIDAD MANIFIESTA: HABILITACIÓN A LA FUERZA DE FACTO</w:t>
      </w:r>
    </w:p>
    <w:p w14:paraId="243F5680" w14:textId="77777777" w:rsidR="005359DC" w:rsidRDefault="005359DC" w:rsidP="00CD18C2">
      <w:pPr>
        <w:shd w:val="clear" w:color="auto" w:fill="FFFFFF"/>
        <w:spacing w:after="0" w:line="360" w:lineRule="auto"/>
        <w:jc w:val="both"/>
        <w:rPr>
          <w:rFonts w:ascii="Times New Roman" w:eastAsia="Times New Roman" w:hAnsi="Times New Roman" w:cs="Times New Roman"/>
          <w:b/>
          <w:color w:val="222222"/>
          <w:sz w:val="24"/>
          <w:szCs w:val="24"/>
          <w:lang w:eastAsia="es-AR"/>
        </w:rPr>
      </w:pPr>
    </w:p>
    <w:p w14:paraId="307A9246" w14:textId="6323C282" w:rsidR="00750E4D" w:rsidRDefault="00171F23" w:rsidP="00750E4D">
      <w:pPr>
        <w:spacing w:line="360" w:lineRule="auto"/>
        <w:jc w:val="both"/>
        <w:rPr>
          <w:rFonts w:ascii="Times New Roman" w:hAnsi="Times New Roman" w:cs="Times New Roman"/>
          <w:sz w:val="24"/>
          <w:szCs w:val="24"/>
        </w:rPr>
      </w:pPr>
      <w:r>
        <w:rPr>
          <w:rFonts w:ascii="Times New Roman" w:eastAsia="Times New Roman" w:hAnsi="Times New Roman" w:cs="Times New Roman"/>
          <w:b/>
          <w:color w:val="222222"/>
          <w:sz w:val="24"/>
          <w:szCs w:val="24"/>
          <w:lang w:eastAsia="es-AR"/>
        </w:rPr>
        <w:t>1</w:t>
      </w:r>
      <w:r w:rsidR="00750E4D" w:rsidRPr="00750E4D">
        <w:rPr>
          <w:rFonts w:ascii="Times New Roman" w:eastAsia="Times New Roman" w:hAnsi="Times New Roman" w:cs="Times New Roman"/>
          <w:b/>
          <w:color w:val="222222"/>
          <w:sz w:val="24"/>
          <w:szCs w:val="24"/>
          <w:lang w:eastAsia="es-AR"/>
        </w:rPr>
        <w:t>.</w:t>
      </w:r>
      <w:r w:rsidR="00750E4D">
        <w:rPr>
          <w:rFonts w:ascii="Times New Roman" w:eastAsia="Times New Roman" w:hAnsi="Times New Roman" w:cs="Times New Roman"/>
          <w:b/>
          <w:color w:val="222222"/>
          <w:sz w:val="24"/>
          <w:szCs w:val="24"/>
          <w:lang w:eastAsia="es-AR"/>
        </w:rPr>
        <w:tab/>
      </w:r>
      <w:r w:rsidR="00527F84">
        <w:rPr>
          <w:rFonts w:ascii="Times New Roman" w:eastAsia="Times New Roman" w:hAnsi="Times New Roman" w:cs="Times New Roman"/>
          <w:color w:val="222222"/>
          <w:sz w:val="24"/>
          <w:szCs w:val="24"/>
          <w:lang w:eastAsia="es-AR"/>
        </w:rPr>
        <w:t xml:space="preserve">A todo lo dicho </w:t>
      </w:r>
      <w:r w:rsidR="00750E4D">
        <w:rPr>
          <w:rFonts w:ascii="Times New Roman" w:eastAsia="Times New Roman" w:hAnsi="Times New Roman" w:cs="Times New Roman"/>
          <w:color w:val="222222"/>
          <w:sz w:val="24"/>
          <w:szCs w:val="24"/>
          <w:lang w:eastAsia="es-AR"/>
        </w:rPr>
        <w:t>denuncia</w:t>
      </w:r>
      <w:r w:rsidR="00527F84">
        <w:rPr>
          <w:rFonts w:ascii="Times New Roman" w:eastAsia="Times New Roman" w:hAnsi="Times New Roman" w:cs="Times New Roman"/>
          <w:color w:val="222222"/>
          <w:sz w:val="24"/>
          <w:szCs w:val="24"/>
          <w:lang w:eastAsia="es-AR"/>
        </w:rPr>
        <w:t>mos</w:t>
      </w:r>
      <w:r w:rsidR="00750E4D">
        <w:rPr>
          <w:rFonts w:ascii="Times New Roman" w:eastAsia="Times New Roman" w:hAnsi="Times New Roman" w:cs="Times New Roman"/>
          <w:color w:val="222222"/>
          <w:sz w:val="24"/>
          <w:szCs w:val="24"/>
          <w:lang w:eastAsia="es-AR"/>
        </w:rPr>
        <w:t xml:space="preserve"> además que el ‘P</w:t>
      </w:r>
      <w:r w:rsidR="00F961E4">
        <w:rPr>
          <w:rFonts w:ascii="Times New Roman" w:eastAsia="Times New Roman" w:hAnsi="Times New Roman" w:cs="Times New Roman"/>
          <w:color w:val="222222"/>
          <w:sz w:val="24"/>
          <w:szCs w:val="24"/>
          <w:lang w:eastAsia="es-AR"/>
        </w:rPr>
        <w:t xml:space="preserve">rotocolo’ del que hablamos solo está </w:t>
      </w:r>
      <w:r w:rsidR="00750E4D">
        <w:rPr>
          <w:rFonts w:ascii="Times New Roman" w:eastAsia="Times New Roman" w:hAnsi="Times New Roman" w:cs="Times New Roman"/>
          <w:color w:val="222222"/>
          <w:sz w:val="24"/>
          <w:szCs w:val="24"/>
          <w:lang w:eastAsia="es-AR"/>
        </w:rPr>
        <w:t>publicado en la página oficial del Ministerio de Seguridad de la Nación</w:t>
      </w:r>
      <w:r w:rsidR="00CB10CC" w:rsidRPr="00CD18C2">
        <w:rPr>
          <w:rStyle w:val="Refdenotaalpie"/>
          <w:rFonts w:ascii="Times New Roman" w:hAnsi="Times New Roman" w:cs="Times New Roman"/>
          <w:sz w:val="24"/>
          <w:szCs w:val="24"/>
        </w:rPr>
        <w:footnoteReference w:id="5"/>
      </w:r>
      <w:r w:rsidR="00750E4D">
        <w:rPr>
          <w:rFonts w:ascii="Times New Roman" w:hAnsi="Times New Roman" w:cs="Times New Roman"/>
          <w:sz w:val="24"/>
          <w:szCs w:val="24"/>
        </w:rPr>
        <w:t xml:space="preserve"> </w:t>
      </w:r>
      <w:r w:rsidR="00F961E4">
        <w:rPr>
          <w:rFonts w:ascii="Times New Roman" w:hAnsi="Times New Roman" w:cs="Times New Roman"/>
          <w:sz w:val="24"/>
          <w:szCs w:val="24"/>
        </w:rPr>
        <w:t xml:space="preserve">pero </w:t>
      </w:r>
      <w:r w:rsidR="00750E4D">
        <w:rPr>
          <w:rFonts w:ascii="Times New Roman" w:hAnsi="Times New Roman" w:cs="Times New Roman"/>
          <w:sz w:val="24"/>
          <w:szCs w:val="24"/>
        </w:rPr>
        <w:t>no ha sido a la fecha publicado en el Boletín Oficial de la República Argentina</w:t>
      </w:r>
      <w:r w:rsidR="007C2563">
        <w:rPr>
          <w:rFonts w:ascii="Times New Roman" w:hAnsi="Times New Roman" w:cs="Times New Roman"/>
          <w:sz w:val="24"/>
          <w:szCs w:val="24"/>
        </w:rPr>
        <w:t xml:space="preserve">. De conformidad </w:t>
      </w:r>
      <w:r w:rsidR="00AB65AD">
        <w:rPr>
          <w:rFonts w:ascii="Times New Roman" w:hAnsi="Times New Roman" w:cs="Times New Roman"/>
          <w:sz w:val="24"/>
          <w:szCs w:val="24"/>
        </w:rPr>
        <w:t xml:space="preserve">con el </w:t>
      </w:r>
      <w:r w:rsidR="007C2563">
        <w:rPr>
          <w:rFonts w:ascii="Times New Roman" w:hAnsi="Times New Roman" w:cs="Times New Roman"/>
          <w:sz w:val="24"/>
          <w:szCs w:val="24"/>
        </w:rPr>
        <w:t>art. 5 del Código Civil y Comercial las leyes</w:t>
      </w:r>
      <w:r w:rsidR="00181A18">
        <w:rPr>
          <w:rFonts w:ascii="Times New Roman" w:hAnsi="Times New Roman" w:cs="Times New Roman"/>
          <w:sz w:val="24"/>
          <w:szCs w:val="24"/>
        </w:rPr>
        <w:t>, en término amplio,</w:t>
      </w:r>
      <w:r w:rsidR="007C2563">
        <w:rPr>
          <w:rFonts w:ascii="Times New Roman" w:hAnsi="Times New Roman" w:cs="Times New Roman"/>
          <w:sz w:val="24"/>
          <w:szCs w:val="24"/>
        </w:rPr>
        <w:t xml:space="preserve"> rigen </w:t>
      </w:r>
      <w:r w:rsidR="007C2563" w:rsidRPr="007C2563">
        <w:rPr>
          <w:rFonts w:ascii="Times New Roman" w:hAnsi="Times New Roman" w:cs="Times New Roman"/>
          <w:sz w:val="24"/>
          <w:szCs w:val="24"/>
        </w:rPr>
        <w:t>después del octavo día de su publicación oficial, o desde el día que ellas determinen.</w:t>
      </w:r>
      <w:r w:rsidR="007C2563">
        <w:rPr>
          <w:rFonts w:ascii="Times New Roman" w:hAnsi="Times New Roman" w:cs="Times New Roman"/>
          <w:sz w:val="24"/>
          <w:szCs w:val="24"/>
        </w:rPr>
        <w:t xml:space="preserve"> </w:t>
      </w:r>
      <w:r w:rsidR="00F961E4">
        <w:rPr>
          <w:rFonts w:ascii="Times New Roman" w:hAnsi="Times New Roman" w:cs="Times New Roman"/>
          <w:sz w:val="24"/>
          <w:szCs w:val="24"/>
        </w:rPr>
        <w:t xml:space="preserve">Y es el Boletín Oficial la publicación oficial a partir de la cual las leyes resultan obligatorias. </w:t>
      </w:r>
      <w:r w:rsidR="007C2563">
        <w:rPr>
          <w:rFonts w:ascii="Times New Roman" w:hAnsi="Times New Roman" w:cs="Times New Roman"/>
          <w:sz w:val="24"/>
          <w:szCs w:val="24"/>
        </w:rPr>
        <w:t>Tampoco se han publicado en los boletines oficiales de las provincia</w:t>
      </w:r>
      <w:r w:rsidR="00AB65AD">
        <w:rPr>
          <w:rFonts w:ascii="Times New Roman" w:hAnsi="Times New Roman" w:cs="Times New Roman"/>
          <w:sz w:val="24"/>
          <w:szCs w:val="24"/>
        </w:rPr>
        <w:t>s las adhesiones al ‘Protocolo’ tal como anunciaron luego de la reunión del Consejo de Seguridad Interior.</w:t>
      </w:r>
    </w:p>
    <w:p w14:paraId="694A4F6F" w14:textId="656E61BA" w:rsidR="00181A18" w:rsidRDefault="00171F23" w:rsidP="00750E4D">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7C2563">
        <w:rPr>
          <w:rFonts w:ascii="Times New Roman" w:hAnsi="Times New Roman" w:cs="Times New Roman"/>
          <w:b/>
          <w:sz w:val="24"/>
          <w:szCs w:val="24"/>
        </w:rPr>
        <w:t>.</w:t>
      </w:r>
      <w:r w:rsidR="007C2563">
        <w:rPr>
          <w:rFonts w:ascii="Times New Roman" w:hAnsi="Times New Roman" w:cs="Times New Roman"/>
          <w:b/>
          <w:sz w:val="24"/>
          <w:szCs w:val="24"/>
        </w:rPr>
        <w:tab/>
      </w:r>
      <w:r w:rsidR="00181A18">
        <w:rPr>
          <w:rFonts w:ascii="Times New Roman" w:hAnsi="Times New Roman" w:cs="Times New Roman"/>
          <w:sz w:val="24"/>
          <w:szCs w:val="24"/>
        </w:rPr>
        <w:t>De tal suerte, el ‘Protocolo’ del que hablamos no res</w:t>
      </w:r>
      <w:r w:rsidR="00F961E4">
        <w:rPr>
          <w:rFonts w:ascii="Times New Roman" w:hAnsi="Times New Roman" w:cs="Times New Roman"/>
          <w:sz w:val="24"/>
          <w:szCs w:val="24"/>
        </w:rPr>
        <w:t>ulta hoy obligatorio para ninguna persona.</w:t>
      </w:r>
      <w:r w:rsidR="00181A18">
        <w:rPr>
          <w:rFonts w:ascii="Times New Roman" w:hAnsi="Times New Roman" w:cs="Times New Roman"/>
          <w:sz w:val="24"/>
          <w:szCs w:val="24"/>
        </w:rPr>
        <w:t xml:space="preserve"> Sin embargo </w:t>
      </w:r>
      <w:r w:rsidR="00E74746">
        <w:rPr>
          <w:rFonts w:ascii="Times New Roman" w:hAnsi="Times New Roman" w:cs="Times New Roman"/>
          <w:sz w:val="24"/>
          <w:szCs w:val="24"/>
        </w:rPr>
        <w:t xml:space="preserve">la población </w:t>
      </w:r>
      <w:r w:rsidR="00F961E4">
        <w:rPr>
          <w:rFonts w:ascii="Times New Roman" w:hAnsi="Times New Roman" w:cs="Times New Roman"/>
          <w:sz w:val="24"/>
          <w:szCs w:val="24"/>
        </w:rPr>
        <w:t xml:space="preserve">ha sido inducida erróneamente por las autoridades a creer que se encuentra </w:t>
      </w:r>
      <w:r w:rsidR="00E74746">
        <w:rPr>
          <w:rFonts w:ascii="Times New Roman" w:hAnsi="Times New Roman" w:cs="Times New Roman"/>
          <w:sz w:val="24"/>
          <w:szCs w:val="24"/>
        </w:rPr>
        <w:t xml:space="preserve">obligada por </w:t>
      </w:r>
      <w:r w:rsidR="00F961E4">
        <w:rPr>
          <w:rFonts w:ascii="Times New Roman" w:hAnsi="Times New Roman" w:cs="Times New Roman"/>
          <w:sz w:val="24"/>
          <w:szCs w:val="24"/>
        </w:rPr>
        <w:t xml:space="preserve">tal ‘Protocolo’. Con la agravante que, </w:t>
      </w:r>
      <w:r w:rsidR="00181A18">
        <w:rPr>
          <w:rFonts w:ascii="Times New Roman" w:hAnsi="Times New Roman" w:cs="Times New Roman"/>
          <w:sz w:val="24"/>
          <w:szCs w:val="24"/>
        </w:rPr>
        <w:t xml:space="preserve">al no </w:t>
      </w:r>
      <w:r w:rsidR="00E74746">
        <w:rPr>
          <w:rFonts w:ascii="Times New Roman" w:hAnsi="Times New Roman" w:cs="Times New Roman"/>
          <w:sz w:val="24"/>
          <w:szCs w:val="24"/>
        </w:rPr>
        <w:t>estar publicad</w:t>
      </w:r>
      <w:r w:rsidR="00F961E4">
        <w:rPr>
          <w:rFonts w:ascii="Times New Roman" w:hAnsi="Times New Roman" w:cs="Times New Roman"/>
          <w:sz w:val="24"/>
          <w:szCs w:val="24"/>
        </w:rPr>
        <w:t>o</w:t>
      </w:r>
      <w:r w:rsidR="00E74746">
        <w:rPr>
          <w:rFonts w:ascii="Times New Roman" w:hAnsi="Times New Roman" w:cs="Times New Roman"/>
          <w:sz w:val="24"/>
          <w:szCs w:val="24"/>
        </w:rPr>
        <w:t xml:space="preserve">, no podemos discutir </w:t>
      </w:r>
      <w:r w:rsidR="00527F84">
        <w:rPr>
          <w:rFonts w:ascii="Times New Roman" w:hAnsi="Times New Roman" w:cs="Times New Roman"/>
          <w:sz w:val="24"/>
          <w:szCs w:val="24"/>
        </w:rPr>
        <w:t xml:space="preserve">sus términos </w:t>
      </w:r>
      <w:r w:rsidR="00E74746">
        <w:rPr>
          <w:rFonts w:ascii="Times New Roman" w:hAnsi="Times New Roman" w:cs="Times New Roman"/>
          <w:sz w:val="24"/>
          <w:szCs w:val="24"/>
        </w:rPr>
        <w:t>legalmente. Esta sola situación importa la violación a nuestros derechos fundamentales.</w:t>
      </w:r>
    </w:p>
    <w:p w14:paraId="62D64484" w14:textId="06F7F10D" w:rsidR="007C2563" w:rsidRPr="007C2563" w:rsidRDefault="00171F23" w:rsidP="00750E4D">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00E74746">
        <w:rPr>
          <w:rFonts w:ascii="Times New Roman" w:hAnsi="Times New Roman" w:cs="Times New Roman"/>
          <w:b/>
          <w:sz w:val="24"/>
          <w:szCs w:val="24"/>
        </w:rPr>
        <w:t>.</w:t>
      </w:r>
      <w:r w:rsidR="00E74746">
        <w:rPr>
          <w:rFonts w:ascii="Times New Roman" w:hAnsi="Times New Roman" w:cs="Times New Roman"/>
          <w:b/>
          <w:sz w:val="24"/>
          <w:szCs w:val="24"/>
        </w:rPr>
        <w:tab/>
      </w:r>
      <w:r w:rsidR="00E74746">
        <w:rPr>
          <w:rFonts w:ascii="Times New Roman" w:hAnsi="Times New Roman" w:cs="Times New Roman"/>
          <w:sz w:val="24"/>
          <w:szCs w:val="24"/>
        </w:rPr>
        <w:t>En tal sentido ha dicho l</w:t>
      </w:r>
      <w:r w:rsidR="00CB10CC">
        <w:rPr>
          <w:rFonts w:ascii="Times New Roman" w:hAnsi="Times New Roman" w:cs="Times New Roman"/>
          <w:sz w:val="24"/>
          <w:szCs w:val="24"/>
        </w:rPr>
        <w:t xml:space="preserve">a CIDH en su </w:t>
      </w:r>
      <w:r w:rsidR="00CB10CC" w:rsidRPr="007F4D1D">
        <w:rPr>
          <w:rFonts w:ascii="Times New Roman" w:hAnsi="Times New Roman" w:cs="Times New Roman"/>
          <w:b/>
          <w:sz w:val="24"/>
          <w:szCs w:val="24"/>
        </w:rPr>
        <w:t>Informe de 2014</w:t>
      </w:r>
      <w:r w:rsidR="00CB10CC">
        <w:rPr>
          <w:rFonts w:ascii="Times New Roman" w:hAnsi="Times New Roman" w:cs="Times New Roman"/>
          <w:sz w:val="24"/>
          <w:szCs w:val="24"/>
        </w:rPr>
        <w:t xml:space="preserve"> sobre el Monitoreo Anual de los Derechos Humanos en los países de la región, en el capítulo </w:t>
      </w:r>
      <w:r w:rsidR="00CB10CC" w:rsidRPr="00CD18C2">
        <w:rPr>
          <w:rFonts w:ascii="Times New Roman" w:hAnsi="Times New Roman" w:cs="Times New Roman"/>
          <w:sz w:val="24"/>
          <w:szCs w:val="24"/>
        </w:rPr>
        <w:t xml:space="preserve">II EVALUACIÓN SOBRE </w:t>
      </w:r>
      <w:r w:rsidR="00CB10CC" w:rsidRPr="00CD18C2">
        <w:rPr>
          <w:rFonts w:ascii="Times New Roman" w:hAnsi="Times New Roman" w:cs="Times New Roman"/>
          <w:sz w:val="24"/>
          <w:szCs w:val="24"/>
        </w:rPr>
        <w:lastRenderedPageBreak/>
        <w:t>EL ESTADO DE LA LIBERTAD DE EXPRESIÓN EN EL HEMISFERIO</w:t>
      </w:r>
      <w:r w:rsidR="00CB10CC" w:rsidRPr="00CD18C2">
        <w:rPr>
          <w:rStyle w:val="Refdenotaalpie"/>
          <w:rFonts w:ascii="Times New Roman" w:hAnsi="Times New Roman" w:cs="Times New Roman"/>
          <w:sz w:val="24"/>
          <w:szCs w:val="24"/>
        </w:rPr>
        <w:footnoteReference w:id="6"/>
      </w:r>
      <w:r w:rsidR="00CB10CC">
        <w:rPr>
          <w:rFonts w:ascii="Times New Roman" w:hAnsi="Times New Roman" w:cs="Times New Roman"/>
          <w:sz w:val="24"/>
          <w:szCs w:val="24"/>
        </w:rPr>
        <w:t xml:space="preserve">, en relación a la Argentina: </w:t>
      </w:r>
    </w:p>
    <w:p w14:paraId="510F6B12" w14:textId="77777777" w:rsidR="00750E4D" w:rsidRPr="00750E4D" w:rsidRDefault="00CB10CC" w:rsidP="00851F31">
      <w:pPr>
        <w:shd w:val="clear" w:color="auto" w:fill="FFFFFF"/>
        <w:spacing w:after="0" w:line="360" w:lineRule="auto"/>
        <w:ind w:left="709" w:right="567"/>
        <w:jc w:val="both"/>
        <w:rPr>
          <w:rFonts w:ascii="Times New Roman" w:eastAsia="Times New Roman" w:hAnsi="Times New Roman" w:cs="Times New Roman"/>
          <w:b/>
          <w:color w:val="222222"/>
          <w:sz w:val="24"/>
          <w:szCs w:val="24"/>
          <w:lang w:eastAsia="es-AR"/>
        </w:rPr>
      </w:pPr>
      <w:r w:rsidRPr="00CD18C2">
        <w:rPr>
          <w:rFonts w:ascii="Times New Roman" w:hAnsi="Times New Roman" w:cs="Times New Roman"/>
          <w:sz w:val="24"/>
          <w:szCs w:val="24"/>
        </w:rPr>
        <w:t>53. Asimismo, la jurisprudencia y doctrina interamericana ha precisado que las leyes que establecen las limitaciones a la libertad de expresión deben estar redactadas en los términos más claros y precisos posibles, ya que el marco legal debe proveer seguridad jurídica a los ciudadanos</w:t>
      </w:r>
      <w:r w:rsidRPr="00CD18C2">
        <w:rPr>
          <w:rStyle w:val="Refdenotaalpie"/>
          <w:rFonts w:ascii="Times New Roman" w:hAnsi="Times New Roman" w:cs="Times New Roman"/>
          <w:sz w:val="24"/>
          <w:szCs w:val="24"/>
        </w:rPr>
        <w:footnoteReference w:id="7"/>
      </w:r>
      <w:r w:rsidRPr="00CD18C2">
        <w:rPr>
          <w:rFonts w:ascii="Times New Roman" w:hAnsi="Times New Roman" w:cs="Times New Roman"/>
          <w:sz w:val="24"/>
          <w:szCs w:val="24"/>
        </w:rPr>
        <w:t>. Este requisito adquiere mayor importancia cuando se trata de limitaciones a la libertad de expresión impuestas por el derecho penal. Al respecto, la Corte Interamericana ha señalado que este tipo de limitaciones deben satisfacer adicionalmente las exigencias propias del principio de estricta legalidad, conforme al artículo 9 de la Convención Americana: “si la restricción o limitación proviene del derecho penal, es preciso observar los estrictos requerimientos característicos de la tipificación penal para satisfacer en este ámbito el principio de legalidad”</w:t>
      </w:r>
      <w:r w:rsidRPr="00CD18C2">
        <w:rPr>
          <w:rStyle w:val="Refdenotaalpie"/>
          <w:rFonts w:ascii="Times New Roman" w:hAnsi="Times New Roman" w:cs="Times New Roman"/>
          <w:sz w:val="24"/>
          <w:szCs w:val="24"/>
        </w:rPr>
        <w:footnoteReference w:id="8"/>
      </w:r>
      <w:r w:rsidRPr="00CD18C2">
        <w:rPr>
          <w:rFonts w:ascii="Times New Roman" w:hAnsi="Times New Roman" w:cs="Times New Roman"/>
          <w:sz w:val="24"/>
          <w:szCs w:val="24"/>
        </w:rPr>
        <w:t>. Lo anterior se concreta en la necesidad de “utilizar términos estrictos y unívocos, que acoten claramente las conductas punibles”</w:t>
      </w:r>
      <w:r w:rsidRPr="00CD18C2">
        <w:rPr>
          <w:rStyle w:val="Refdenotaalpie"/>
          <w:rFonts w:ascii="Times New Roman" w:hAnsi="Times New Roman" w:cs="Times New Roman"/>
          <w:sz w:val="24"/>
          <w:szCs w:val="24"/>
        </w:rPr>
        <w:footnoteReference w:id="9"/>
      </w:r>
      <w:r w:rsidRPr="00CD18C2">
        <w:rPr>
          <w:rFonts w:ascii="Times New Roman" w:hAnsi="Times New Roman" w:cs="Times New Roman"/>
          <w:sz w:val="24"/>
          <w:szCs w:val="24"/>
        </w:rPr>
        <w:t>, lo cual implica “una clara definición de la conducta incriminada, la fijación de sus elementos y el deslinde de comportamientos no punibles o conductas ilícitas sancionables con medidas no penales”</w:t>
      </w:r>
      <w:r w:rsidRPr="00CD18C2">
        <w:rPr>
          <w:rStyle w:val="Refdenotaalpie"/>
          <w:rFonts w:ascii="Times New Roman" w:hAnsi="Times New Roman" w:cs="Times New Roman"/>
          <w:sz w:val="24"/>
          <w:szCs w:val="24"/>
        </w:rPr>
        <w:footnoteReference w:id="10"/>
      </w:r>
      <w:r w:rsidRPr="00CD18C2">
        <w:rPr>
          <w:rFonts w:ascii="Times New Roman" w:hAnsi="Times New Roman" w:cs="Times New Roman"/>
          <w:sz w:val="24"/>
          <w:szCs w:val="24"/>
        </w:rPr>
        <w:t>.</w:t>
      </w:r>
      <w:r w:rsidR="00750E4D" w:rsidRPr="00750E4D">
        <w:rPr>
          <w:rFonts w:ascii="Times New Roman" w:eastAsia="Times New Roman" w:hAnsi="Times New Roman" w:cs="Times New Roman"/>
          <w:b/>
          <w:color w:val="222222"/>
          <w:sz w:val="24"/>
          <w:szCs w:val="24"/>
          <w:lang w:eastAsia="es-AR"/>
        </w:rPr>
        <w:tab/>
      </w:r>
    </w:p>
    <w:p w14:paraId="578B79B0" w14:textId="77777777" w:rsidR="00181A18" w:rsidRDefault="00181A18"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p>
    <w:p w14:paraId="1CC84136" w14:textId="2946DEE1" w:rsidR="00181A18"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4</w:t>
      </w:r>
      <w:r w:rsidR="00181A18">
        <w:rPr>
          <w:rFonts w:ascii="Times New Roman" w:eastAsia="Times New Roman" w:hAnsi="Times New Roman" w:cs="Times New Roman"/>
          <w:b/>
          <w:color w:val="222222"/>
          <w:sz w:val="24"/>
          <w:szCs w:val="24"/>
          <w:lang w:eastAsia="es-AR"/>
        </w:rPr>
        <w:t>.</w:t>
      </w:r>
      <w:r w:rsidR="00181A18">
        <w:rPr>
          <w:rFonts w:ascii="Times New Roman" w:eastAsia="Times New Roman" w:hAnsi="Times New Roman" w:cs="Times New Roman"/>
          <w:b/>
          <w:color w:val="222222"/>
          <w:sz w:val="24"/>
          <w:szCs w:val="24"/>
          <w:lang w:eastAsia="es-AR"/>
        </w:rPr>
        <w:tab/>
      </w:r>
      <w:r w:rsidR="00E74746">
        <w:rPr>
          <w:rFonts w:ascii="Times New Roman" w:eastAsia="Times New Roman" w:hAnsi="Times New Roman" w:cs="Times New Roman"/>
          <w:color w:val="222222"/>
          <w:sz w:val="24"/>
          <w:szCs w:val="24"/>
          <w:lang w:eastAsia="es-AR"/>
        </w:rPr>
        <w:t xml:space="preserve">Tan grosera es </w:t>
      </w:r>
      <w:r w:rsidR="00AB3B64">
        <w:rPr>
          <w:rFonts w:ascii="Times New Roman" w:eastAsia="Times New Roman" w:hAnsi="Times New Roman" w:cs="Times New Roman"/>
          <w:color w:val="222222"/>
          <w:sz w:val="24"/>
          <w:szCs w:val="24"/>
          <w:lang w:eastAsia="es-AR"/>
        </w:rPr>
        <w:t>violación a nuestros derechos la falta de publicación del ‘Protocolo’ que se nos veda el acceso a la justicia</w:t>
      </w:r>
      <w:r w:rsidR="004032BE">
        <w:rPr>
          <w:rFonts w:ascii="Times New Roman" w:eastAsia="Times New Roman" w:hAnsi="Times New Roman" w:cs="Times New Roman"/>
          <w:color w:val="222222"/>
          <w:sz w:val="24"/>
          <w:szCs w:val="24"/>
          <w:lang w:eastAsia="es-AR"/>
        </w:rPr>
        <w:t xml:space="preserve"> y </w:t>
      </w:r>
      <w:r w:rsidR="00AB65AD">
        <w:rPr>
          <w:rFonts w:ascii="Times New Roman" w:eastAsia="Times New Roman" w:hAnsi="Times New Roman" w:cs="Times New Roman"/>
          <w:color w:val="222222"/>
          <w:sz w:val="24"/>
          <w:szCs w:val="24"/>
          <w:lang w:eastAsia="es-AR"/>
        </w:rPr>
        <w:t xml:space="preserve">a </w:t>
      </w:r>
      <w:r w:rsidR="004032BE">
        <w:rPr>
          <w:rFonts w:ascii="Times New Roman" w:eastAsia="Times New Roman" w:hAnsi="Times New Roman" w:cs="Times New Roman"/>
          <w:color w:val="222222"/>
          <w:sz w:val="24"/>
          <w:szCs w:val="24"/>
          <w:lang w:eastAsia="es-AR"/>
        </w:rPr>
        <w:t>la protección judicial efectiva</w:t>
      </w:r>
      <w:r w:rsidR="00AB3B64">
        <w:rPr>
          <w:rFonts w:ascii="Times New Roman" w:eastAsia="Times New Roman" w:hAnsi="Times New Roman" w:cs="Times New Roman"/>
          <w:color w:val="222222"/>
          <w:sz w:val="24"/>
          <w:szCs w:val="24"/>
          <w:lang w:eastAsia="es-AR"/>
        </w:rPr>
        <w:t xml:space="preserve">. En efecto, la Sala II de la </w:t>
      </w:r>
      <w:r w:rsidR="00AB3B64" w:rsidRPr="00AB3B64">
        <w:rPr>
          <w:rFonts w:ascii="Times New Roman" w:eastAsia="Times New Roman" w:hAnsi="Times New Roman" w:cs="Times New Roman"/>
          <w:color w:val="222222"/>
          <w:sz w:val="24"/>
          <w:szCs w:val="24"/>
          <w:lang w:eastAsia="es-AR"/>
        </w:rPr>
        <w:t>Cámara de</w:t>
      </w:r>
      <w:r w:rsidR="00AB3B64">
        <w:rPr>
          <w:rFonts w:ascii="Times New Roman" w:eastAsia="Times New Roman" w:hAnsi="Times New Roman" w:cs="Times New Roman"/>
          <w:color w:val="222222"/>
          <w:sz w:val="24"/>
          <w:szCs w:val="24"/>
          <w:lang w:eastAsia="es-AR"/>
        </w:rPr>
        <w:t xml:space="preserve"> </w:t>
      </w:r>
      <w:r w:rsidR="00AB3B64" w:rsidRPr="00AB3B64">
        <w:rPr>
          <w:rFonts w:ascii="Times New Roman" w:eastAsia="Times New Roman" w:hAnsi="Times New Roman" w:cs="Times New Roman"/>
          <w:color w:val="222222"/>
          <w:sz w:val="24"/>
          <w:szCs w:val="24"/>
          <w:lang w:eastAsia="es-AR"/>
        </w:rPr>
        <w:t>Apelaciones en lo Penal, Contravencional y de</w:t>
      </w:r>
      <w:r w:rsidR="00AB3B64">
        <w:rPr>
          <w:rFonts w:ascii="Times New Roman" w:eastAsia="Times New Roman" w:hAnsi="Times New Roman" w:cs="Times New Roman"/>
          <w:color w:val="222222"/>
          <w:sz w:val="24"/>
          <w:szCs w:val="24"/>
          <w:lang w:eastAsia="es-AR"/>
        </w:rPr>
        <w:t xml:space="preserve"> </w:t>
      </w:r>
      <w:r w:rsidR="00AB3B64" w:rsidRPr="00AB3B64">
        <w:rPr>
          <w:rFonts w:ascii="Times New Roman" w:eastAsia="Times New Roman" w:hAnsi="Times New Roman" w:cs="Times New Roman"/>
          <w:color w:val="222222"/>
          <w:sz w:val="24"/>
          <w:szCs w:val="24"/>
          <w:lang w:eastAsia="es-AR"/>
        </w:rPr>
        <w:t>Faltas</w:t>
      </w:r>
      <w:r w:rsidR="00AB3B64">
        <w:rPr>
          <w:rFonts w:ascii="Times New Roman" w:eastAsia="Times New Roman" w:hAnsi="Times New Roman" w:cs="Times New Roman"/>
          <w:color w:val="222222"/>
          <w:sz w:val="24"/>
          <w:szCs w:val="24"/>
          <w:lang w:eastAsia="es-AR"/>
        </w:rPr>
        <w:t xml:space="preserve"> de la Ciudad Autónoma de Buenos Aires, en </w:t>
      </w:r>
      <w:r w:rsidR="00AB3B64" w:rsidRPr="007F4D1D">
        <w:rPr>
          <w:rFonts w:ascii="Times New Roman" w:eastAsia="Times New Roman" w:hAnsi="Times New Roman" w:cs="Times New Roman"/>
          <w:b/>
          <w:color w:val="222222"/>
          <w:sz w:val="24"/>
          <w:szCs w:val="24"/>
          <w:lang w:eastAsia="es-AR"/>
        </w:rPr>
        <w:t>CAUSA N° 2356-00-00-16 CC</w:t>
      </w:r>
      <w:r w:rsidR="00AB3B64">
        <w:rPr>
          <w:rFonts w:ascii="Times New Roman" w:eastAsia="Times New Roman" w:hAnsi="Times New Roman" w:cs="Times New Roman"/>
          <w:color w:val="222222"/>
          <w:sz w:val="24"/>
          <w:szCs w:val="24"/>
          <w:lang w:eastAsia="es-AR"/>
        </w:rPr>
        <w:t xml:space="preserve">, el </w:t>
      </w:r>
      <w:r w:rsidR="00AB3B64" w:rsidRPr="00AB3B64">
        <w:rPr>
          <w:rFonts w:ascii="Times New Roman" w:eastAsia="Times New Roman" w:hAnsi="Times New Roman" w:cs="Times New Roman"/>
          <w:color w:val="222222"/>
          <w:sz w:val="24"/>
          <w:szCs w:val="24"/>
          <w:lang w:eastAsia="es-AR"/>
        </w:rPr>
        <w:t>23 de febre</w:t>
      </w:r>
      <w:r w:rsidR="00AB3B64">
        <w:rPr>
          <w:rFonts w:ascii="Times New Roman" w:eastAsia="Times New Roman" w:hAnsi="Times New Roman" w:cs="Times New Roman"/>
          <w:color w:val="222222"/>
          <w:sz w:val="24"/>
          <w:szCs w:val="24"/>
          <w:lang w:eastAsia="es-AR"/>
        </w:rPr>
        <w:t xml:space="preserve">ro de 2016 rechazó un </w:t>
      </w:r>
      <w:r w:rsidR="00AB3B64">
        <w:rPr>
          <w:rFonts w:ascii="Times New Roman" w:eastAsia="Times New Roman" w:hAnsi="Times New Roman" w:cs="Times New Roman"/>
          <w:i/>
          <w:color w:val="222222"/>
          <w:sz w:val="24"/>
          <w:szCs w:val="24"/>
          <w:lang w:eastAsia="es-AR"/>
        </w:rPr>
        <w:t>habeas corpus</w:t>
      </w:r>
      <w:r w:rsidR="00AB3B64">
        <w:rPr>
          <w:rFonts w:ascii="Times New Roman" w:eastAsia="Times New Roman" w:hAnsi="Times New Roman" w:cs="Times New Roman"/>
          <w:color w:val="222222"/>
          <w:sz w:val="24"/>
          <w:szCs w:val="24"/>
          <w:lang w:eastAsia="es-AR"/>
        </w:rPr>
        <w:t xml:space="preserve"> preventivo contra el ‘Protocolo’ alegando</w:t>
      </w:r>
      <w:r w:rsidR="004032BE">
        <w:rPr>
          <w:rFonts w:ascii="Times New Roman" w:eastAsia="Times New Roman" w:hAnsi="Times New Roman" w:cs="Times New Roman"/>
          <w:color w:val="222222"/>
          <w:sz w:val="24"/>
          <w:szCs w:val="24"/>
          <w:lang w:eastAsia="es-AR"/>
        </w:rPr>
        <w:t xml:space="preserve"> que</w:t>
      </w:r>
      <w:r w:rsidR="00AB3B64">
        <w:rPr>
          <w:rFonts w:ascii="Times New Roman" w:eastAsia="Times New Roman" w:hAnsi="Times New Roman" w:cs="Times New Roman"/>
          <w:color w:val="222222"/>
          <w:sz w:val="24"/>
          <w:szCs w:val="24"/>
          <w:lang w:eastAsia="es-AR"/>
        </w:rPr>
        <w:t>:</w:t>
      </w:r>
    </w:p>
    <w:p w14:paraId="497A7A27" w14:textId="77777777" w:rsidR="00AB3B64" w:rsidRPr="00AB3B64" w:rsidRDefault="004032BE" w:rsidP="00AB3B64">
      <w:pPr>
        <w:shd w:val="clear" w:color="auto" w:fill="FFFFFF"/>
        <w:spacing w:after="0" w:line="360" w:lineRule="auto"/>
        <w:ind w:left="709" w:right="567"/>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lastRenderedPageBreak/>
        <w:t xml:space="preserve">(…) </w:t>
      </w:r>
      <w:r w:rsidR="00AB3B64" w:rsidRPr="00AB3B64">
        <w:rPr>
          <w:rFonts w:ascii="Times New Roman" w:eastAsia="Times New Roman" w:hAnsi="Times New Roman" w:cs="Times New Roman"/>
          <w:color w:val="222222"/>
          <w:sz w:val="24"/>
          <w:szCs w:val="24"/>
          <w:lang w:eastAsia="es-AR"/>
        </w:rPr>
        <w:t>el protocolo denunciado “…aún no ha sido publicado en el Boletín Oficial” (fs. 42), lo que da por tierra con cualquier posibilidad de menoscabo a la libertad ambulatoria, que en definitiva constituye el bien jurídico tutelado por ley.</w:t>
      </w:r>
    </w:p>
    <w:p w14:paraId="7AACF338" w14:textId="77777777" w:rsidR="007F4D1D" w:rsidRDefault="007F4D1D" w:rsidP="004032BE">
      <w:pPr>
        <w:shd w:val="clear" w:color="auto" w:fill="FFFFFF"/>
        <w:spacing w:after="0" w:line="360" w:lineRule="auto"/>
        <w:jc w:val="both"/>
        <w:rPr>
          <w:rFonts w:ascii="Times New Roman" w:eastAsia="Times New Roman" w:hAnsi="Times New Roman" w:cs="Times New Roman"/>
          <w:b/>
          <w:color w:val="222222"/>
          <w:sz w:val="24"/>
          <w:szCs w:val="24"/>
          <w:lang w:eastAsia="es-AR"/>
        </w:rPr>
      </w:pPr>
    </w:p>
    <w:p w14:paraId="57FBAF5E" w14:textId="3F0D123C" w:rsidR="004032BE" w:rsidRPr="002E7456" w:rsidRDefault="00171F23" w:rsidP="004032BE">
      <w:pPr>
        <w:shd w:val="clear" w:color="auto" w:fill="FFFFFF"/>
        <w:spacing w:after="0" w:line="360" w:lineRule="auto"/>
        <w:jc w:val="both"/>
        <w:rPr>
          <w:rFonts w:ascii="Times New Roman" w:eastAsia="Times New Roman" w:hAnsi="Times New Roman" w:cs="Times New Roman"/>
          <w:b/>
          <w:bCs/>
          <w:color w:val="333333"/>
          <w:sz w:val="24"/>
          <w:szCs w:val="24"/>
          <w:shd w:val="clear" w:color="auto" w:fill="FFFFFF"/>
          <w:lang w:eastAsia="es-AR"/>
        </w:rPr>
      </w:pPr>
      <w:r>
        <w:rPr>
          <w:rFonts w:ascii="Times New Roman" w:eastAsia="Times New Roman" w:hAnsi="Times New Roman" w:cs="Times New Roman"/>
          <w:b/>
          <w:color w:val="222222"/>
          <w:sz w:val="24"/>
          <w:szCs w:val="24"/>
          <w:lang w:eastAsia="es-AR"/>
        </w:rPr>
        <w:t>5</w:t>
      </w:r>
      <w:r w:rsidR="004032BE">
        <w:rPr>
          <w:rFonts w:ascii="Times New Roman" w:eastAsia="Times New Roman" w:hAnsi="Times New Roman" w:cs="Times New Roman"/>
          <w:b/>
          <w:color w:val="222222"/>
          <w:sz w:val="24"/>
          <w:szCs w:val="24"/>
          <w:lang w:eastAsia="es-AR"/>
        </w:rPr>
        <w:t>.</w:t>
      </w:r>
      <w:r w:rsidR="004032BE">
        <w:rPr>
          <w:rFonts w:ascii="Times New Roman" w:eastAsia="Times New Roman" w:hAnsi="Times New Roman" w:cs="Times New Roman"/>
          <w:b/>
          <w:color w:val="222222"/>
          <w:sz w:val="24"/>
          <w:szCs w:val="24"/>
          <w:lang w:eastAsia="es-AR"/>
        </w:rPr>
        <w:tab/>
      </w:r>
      <w:r w:rsidR="00527F84">
        <w:rPr>
          <w:rFonts w:ascii="Times New Roman" w:eastAsia="Times New Roman" w:hAnsi="Times New Roman" w:cs="Times New Roman"/>
          <w:color w:val="222222"/>
          <w:sz w:val="24"/>
          <w:szCs w:val="24"/>
          <w:lang w:eastAsia="es-AR"/>
        </w:rPr>
        <w:t xml:space="preserve">Y es aquí donde queda plasmada </w:t>
      </w:r>
      <w:r w:rsidR="004032BE">
        <w:rPr>
          <w:rFonts w:ascii="Times New Roman" w:eastAsia="Times New Roman" w:hAnsi="Times New Roman" w:cs="Times New Roman"/>
          <w:color w:val="222222"/>
          <w:sz w:val="24"/>
          <w:szCs w:val="24"/>
          <w:lang w:eastAsia="es-AR"/>
        </w:rPr>
        <w:t>la magnitud de las manifestaciones d</w:t>
      </w:r>
      <w:r w:rsidR="00F961E4">
        <w:rPr>
          <w:rFonts w:ascii="Times New Roman" w:eastAsia="Times New Roman" w:hAnsi="Times New Roman" w:cs="Times New Roman"/>
          <w:color w:val="222222"/>
          <w:sz w:val="24"/>
          <w:szCs w:val="24"/>
          <w:lang w:eastAsia="es-AR"/>
        </w:rPr>
        <w:t xml:space="preserve">e la Ministra de Seguridad y de </w:t>
      </w:r>
      <w:r w:rsidR="004032BE">
        <w:rPr>
          <w:rFonts w:ascii="Times New Roman" w:eastAsia="Times New Roman" w:hAnsi="Times New Roman" w:cs="Times New Roman"/>
          <w:color w:val="222222"/>
          <w:sz w:val="24"/>
          <w:szCs w:val="24"/>
          <w:lang w:eastAsia="es-AR"/>
        </w:rPr>
        <w:t>los</w:t>
      </w:r>
      <w:r w:rsidR="00F961E4">
        <w:rPr>
          <w:rFonts w:ascii="Times New Roman" w:eastAsia="Times New Roman" w:hAnsi="Times New Roman" w:cs="Times New Roman"/>
          <w:color w:val="222222"/>
          <w:sz w:val="24"/>
          <w:szCs w:val="24"/>
          <w:lang w:eastAsia="es-AR"/>
        </w:rPr>
        <w:t xml:space="preserve"> </w:t>
      </w:r>
      <w:r w:rsidR="004032BE">
        <w:rPr>
          <w:rFonts w:ascii="Times New Roman" w:eastAsia="Times New Roman" w:hAnsi="Times New Roman" w:cs="Times New Roman"/>
          <w:color w:val="222222"/>
          <w:sz w:val="24"/>
          <w:szCs w:val="24"/>
          <w:lang w:eastAsia="es-AR"/>
        </w:rPr>
        <w:t xml:space="preserve">Gobernadores, como jefes directos de las fuerzas de seguridad que pondrán en acción la ilegalidad por ellos instigada. En palabras del </w:t>
      </w:r>
      <w:r w:rsidR="004032BE" w:rsidRPr="007F4D1D">
        <w:rPr>
          <w:rFonts w:ascii="Times New Roman" w:eastAsia="Times New Roman" w:hAnsi="Times New Roman" w:cs="Times New Roman"/>
          <w:bCs/>
          <w:i/>
          <w:iCs/>
          <w:color w:val="222222"/>
          <w:sz w:val="24"/>
          <w:szCs w:val="24"/>
          <w:lang w:val="es-ES" w:eastAsia="es-AR"/>
        </w:rPr>
        <w:t>Relator Especial de las Naciones Unidas (ONU) para la Protección y Promoción del Derecho a la Libertad de Opinión y de Expresión Relatora Especial para la Libertad de Expresión de la Comisión Interamericana de Derechos Humanos de la OEA</w:t>
      </w:r>
      <w:r w:rsidR="004032BE">
        <w:rPr>
          <w:rFonts w:ascii="Times New Roman" w:eastAsia="Times New Roman" w:hAnsi="Times New Roman" w:cs="Times New Roman"/>
          <w:b/>
          <w:bCs/>
          <w:iCs/>
          <w:color w:val="222222"/>
          <w:sz w:val="24"/>
          <w:szCs w:val="24"/>
          <w:lang w:val="es-ES" w:eastAsia="es-AR"/>
        </w:rPr>
        <w:t xml:space="preserve"> </w:t>
      </w:r>
      <w:r w:rsidR="004032BE">
        <w:rPr>
          <w:rFonts w:ascii="Times New Roman" w:eastAsia="Times New Roman" w:hAnsi="Times New Roman" w:cs="Times New Roman"/>
          <w:bCs/>
          <w:iCs/>
          <w:color w:val="222222"/>
          <w:sz w:val="24"/>
          <w:szCs w:val="24"/>
          <w:lang w:val="es-ES" w:eastAsia="es-AR"/>
        </w:rPr>
        <w:t>en la</w:t>
      </w:r>
      <w:r w:rsidR="004032BE">
        <w:rPr>
          <w:rFonts w:ascii="Times New Roman" w:eastAsia="Times New Roman" w:hAnsi="Times New Roman" w:cs="Times New Roman"/>
          <w:color w:val="222222"/>
          <w:sz w:val="24"/>
          <w:szCs w:val="24"/>
          <w:lang w:eastAsia="es-AR"/>
        </w:rPr>
        <w:t xml:space="preserve"> </w:t>
      </w:r>
      <w:r w:rsidR="004032BE" w:rsidRPr="002E7456">
        <w:rPr>
          <w:rFonts w:ascii="Times New Roman" w:eastAsia="Times New Roman" w:hAnsi="Times New Roman" w:cs="Times New Roman"/>
          <w:b/>
          <w:bCs/>
          <w:smallCaps/>
          <w:color w:val="333333"/>
          <w:sz w:val="24"/>
          <w:szCs w:val="24"/>
          <w:shd w:val="clear" w:color="auto" w:fill="FFFFFF"/>
          <w:lang w:val="es-ES" w:eastAsia="es-AR"/>
        </w:rPr>
        <w:t>Declaración conjunta sobre violencia contra periodistas y comunicadores en el marco de manifestaciones sociales</w:t>
      </w:r>
      <w:r w:rsidR="00CB7231" w:rsidRPr="00CD18C2">
        <w:rPr>
          <w:rStyle w:val="Refdenotaalpie"/>
          <w:rFonts w:ascii="Times New Roman" w:hAnsi="Times New Roman" w:cs="Times New Roman"/>
          <w:sz w:val="24"/>
          <w:szCs w:val="24"/>
        </w:rPr>
        <w:footnoteReference w:id="11"/>
      </w:r>
    </w:p>
    <w:p w14:paraId="6D838515" w14:textId="77777777" w:rsidR="004032BE" w:rsidRPr="002E7456" w:rsidRDefault="004032BE" w:rsidP="00CB7231">
      <w:pPr>
        <w:shd w:val="clear" w:color="auto" w:fill="FFFFFF"/>
        <w:spacing w:after="0" w:line="360" w:lineRule="auto"/>
        <w:ind w:left="709" w:right="283"/>
        <w:jc w:val="both"/>
        <w:rPr>
          <w:rFonts w:ascii="Times New Roman" w:eastAsia="Times New Roman" w:hAnsi="Times New Roman" w:cs="Times New Roman"/>
          <w:color w:val="333333"/>
          <w:sz w:val="24"/>
          <w:szCs w:val="24"/>
          <w:lang w:eastAsia="es-AR"/>
        </w:rPr>
      </w:pPr>
      <w:r w:rsidRPr="00CD18C2">
        <w:rPr>
          <w:rFonts w:ascii="Times New Roman" w:eastAsia="Times New Roman" w:hAnsi="Times New Roman" w:cs="Times New Roman"/>
          <w:color w:val="333333"/>
          <w:sz w:val="24"/>
          <w:szCs w:val="24"/>
          <w:lang w:val="es-ES" w:eastAsia="es-AR"/>
        </w:rPr>
        <w:t>(…)</w:t>
      </w:r>
      <w:r w:rsidRPr="002E7456">
        <w:rPr>
          <w:rFonts w:ascii="Times New Roman" w:eastAsia="Times New Roman" w:hAnsi="Times New Roman" w:cs="Times New Roman"/>
          <w:color w:val="333333"/>
          <w:sz w:val="24"/>
          <w:szCs w:val="24"/>
          <w:lang w:val="es-ES" w:eastAsia="es-AR"/>
        </w:rPr>
        <w:t xml:space="preserve"> las autoridades deben tener en cuenta que los funcionarios públicos tienen una posición de garante de los derechos fundamentales de las personas y, por tanto, sus declaraciones no pueden constituirse en formas de injerencia directa o indirecta en los derechos de quienes pretenden contribuir a la deliberación pública mediante la expresión y difusión de información. Este deber se ve particularmente acentuado en situaciones de mayor conflictividad social, alteraciones del orden público o polarización social o política, precisamente por el conjunto de riesgos que pueden implicar para determinadas personas.</w:t>
      </w:r>
      <w:r w:rsidRPr="00CD18C2">
        <w:rPr>
          <w:rFonts w:ascii="Times New Roman" w:eastAsia="Times New Roman" w:hAnsi="Times New Roman" w:cs="Times New Roman"/>
          <w:color w:val="333333"/>
          <w:sz w:val="24"/>
          <w:szCs w:val="24"/>
          <w:lang w:val="es-ES" w:eastAsia="es-AR"/>
        </w:rPr>
        <w:t xml:space="preserve"> (…)</w:t>
      </w:r>
    </w:p>
    <w:p w14:paraId="699571F5" w14:textId="77777777" w:rsidR="007F4D1D" w:rsidRDefault="007F4D1D" w:rsidP="00CB7231">
      <w:pPr>
        <w:spacing w:line="360" w:lineRule="auto"/>
        <w:ind w:right="283"/>
        <w:jc w:val="both"/>
        <w:rPr>
          <w:rFonts w:ascii="Times New Roman" w:hAnsi="Times New Roman" w:cs="Times New Roman"/>
          <w:b/>
          <w:color w:val="333333"/>
          <w:sz w:val="24"/>
          <w:szCs w:val="24"/>
          <w:shd w:val="clear" w:color="auto" w:fill="FFFFFF"/>
        </w:rPr>
      </w:pPr>
    </w:p>
    <w:p w14:paraId="2541C39C" w14:textId="44214C2F" w:rsidR="00CB7231" w:rsidRDefault="00171F23" w:rsidP="00CB7231">
      <w:pPr>
        <w:spacing w:line="360" w:lineRule="auto"/>
        <w:ind w:right="283"/>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6</w:t>
      </w:r>
      <w:r w:rsidR="00CB7231">
        <w:rPr>
          <w:rFonts w:ascii="Times New Roman" w:hAnsi="Times New Roman" w:cs="Times New Roman"/>
          <w:b/>
          <w:color w:val="333333"/>
          <w:sz w:val="24"/>
          <w:szCs w:val="24"/>
          <w:shd w:val="clear" w:color="auto" w:fill="FFFFFF"/>
        </w:rPr>
        <w:t>.</w:t>
      </w:r>
      <w:r w:rsidR="00CB7231">
        <w:rPr>
          <w:rFonts w:ascii="Times New Roman" w:hAnsi="Times New Roman" w:cs="Times New Roman"/>
          <w:b/>
          <w:color w:val="333333"/>
          <w:sz w:val="24"/>
          <w:szCs w:val="24"/>
          <w:shd w:val="clear" w:color="auto" w:fill="FFFFFF"/>
        </w:rPr>
        <w:tab/>
      </w:r>
      <w:r w:rsidR="00CB7231">
        <w:rPr>
          <w:rFonts w:ascii="Times New Roman" w:hAnsi="Times New Roman" w:cs="Times New Roman"/>
          <w:color w:val="333333"/>
          <w:sz w:val="24"/>
          <w:szCs w:val="24"/>
          <w:shd w:val="clear" w:color="auto" w:fill="FFFFFF"/>
        </w:rPr>
        <w:t>La Ministra de Seguridad y los Gobernadores son los garantes de nuestros derechos a la libertad de expresión, de asociación, de nuestra libertad, seguridad y, en especial, de nuestra integridad y de la vida. Y es ella y ellos quienes, con sus declaraciones</w:t>
      </w:r>
      <w:r w:rsidR="0019505E">
        <w:rPr>
          <w:rFonts w:ascii="Times New Roman" w:hAnsi="Times New Roman" w:cs="Times New Roman"/>
          <w:color w:val="333333"/>
          <w:sz w:val="24"/>
          <w:szCs w:val="24"/>
          <w:shd w:val="clear" w:color="auto" w:fill="FFFFFF"/>
        </w:rPr>
        <w:t>,</w:t>
      </w:r>
      <w:r w:rsidR="00CB7231">
        <w:rPr>
          <w:rFonts w:ascii="Times New Roman" w:hAnsi="Times New Roman" w:cs="Times New Roman"/>
          <w:color w:val="333333"/>
          <w:sz w:val="24"/>
          <w:szCs w:val="24"/>
          <w:shd w:val="clear" w:color="auto" w:fill="FFFFFF"/>
        </w:rPr>
        <w:t xml:space="preserve"> generan el clima de violencia de l</w:t>
      </w:r>
      <w:r w:rsidR="0019505E">
        <w:rPr>
          <w:rFonts w:ascii="Times New Roman" w:hAnsi="Times New Roman" w:cs="Times New Roman"/>
          <w:color w:val="333333"/>
          <w:sz w:val="24"/>
          <w:szCs w:val="24"/>
          <w:shd w:val="clear" w:color="auto" w:fill="FFFFFF"/>
        </w:rPr>
        <w:t xml:space="preserve">a que </w:t>
      </w:r>
      <w:r w:rsidR="00CB7231">
        <w:rPr>
          <w:rFonts w:ascii="Times New Roman" w:hAnsi="Times New Roman" w:cs="Times New Roman"/>
          <w:color w:val="333333"/>
          <w:sz w:val="24"/>
          <w:szCs w:val="24"/>
          <w:shd w:val="clear" w:color="auto" w:fill="FFFFFF"/>
        </w:rPr>
        <w:t>deberán ser responsables direct</w:t>
      </w:r>
      <w:r w:rsidR="00AB65AD">
        <w:rPr>
          <w:rFonts w:ascii="Times New Roman" w:hAnsi="Times New Roman" w:cs="Times New Roman"/>
          <w:color w:val="333333"/>
          <w:sz w:val="24"/>
          <w:szCs w:val="24"/>
          <w:shd w:val="clear" w:color="auto" w:fill="FFFFFF"/>
        </w:rPr>
        <w:t>os</w:t>
      </w:r>
      <w:r w:rsidR="00CB7231">
        <w:rPr>
          <w:rFonts w:ascii="Times New Roman" w:hAnsi="Times New Roman" w:cs="Times New Roman"/>
          <w:color w:val="333333"/>
          <w:sz w:val="24"/>
          <w:szCs w:val="24"/>
          <w:shd w:val="clear" w:color="auto" w:fill="FFFFFF"/>
        </w:rPr>
        <w:t xml:space="preserve"> por cada hecho que se produ</w:t>
      </w:r>
      <w:r w:rsidR="0019505E">
        <w:rPr>
          <w:rFonts w:ascii="Times New Roman" w:hAnsi="Times New Roman" w:cs="Times New Roman"/>
          <w:color w:val="333333"/>
          <w:sz w:val="24"/>
          <w:szCs w:val="24"/>
          <w:shd w:val="clear" w:color="auto" w:fill="FFFFFF"/>
        </w:rPr>
        <w:t>z</w:t>
      </w:r>
      <w:r w:rsidR="00CB7231">
        <w:rPr>
          <w:rFonts w:ascii="Times New Roman" w:hAnsi="Times New Roman" w:cs="Times New Roman"/>
          <w:color w:val="333333"/>
          <w:sz w:val="24"/>
          <w:szCs w:val="24"/>
          <w:shd w:val="clear" w:color="auto" w:fill="FFFFFF"/>
        </w:rPr>
        <w:t>ca en cualquier parte del país.</w:t>
      </w:r>
    </w:p>
    <w:p w14:paraId="66F9F7F5" w14:textId="29C5023D" w:rsidR="007F4D1D" w:rsidRPr="00CD18C2" w:rsidRDefault="00171F23" w:rsidP="0027568B">
      <w:pPr>
        <w:spacing w:line="360" w:lineRule="auto"/>
        <w:ind w:right="283"/>
        <w:jc w:val="both"/>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7</w:t>
      </w:r>
      <w:r w:rsidR="007F4D1D">
        <w:rPr>
          <w:rFonts w:ascii="Times New Roman" w:hAnsi="Times New Roman" w:cs="Times New Roman"/>
          <w:b/>
          <w:color w:val="333333"/>
          <w:sz w:val="24"/>
          <w:szCs w:val="24"/>
          <w:shd w:val="clear" w:color="auto" w:fill="FFFFFF"/>
        </w:rPr>
        <w:t>.</w:t>
      </w:r>
      <w:r w:rsidR="007F4D1D">
        <w:rPr>
          <w:rFonts w:ascii="Times New Roman" w:hAnsi="Times New Roman" w:cs="Times New Roman"/>
          <w:b/>
          <w:color w:val="333333"/>
          <w:sz w:val="24"/>
          <w:szCs w:val="24"/>
          <w:shd w:val="clear" w:color="auto" w:fill="FFFFFF"/>
        </w:rPr>
        <w:tab/>
      </w:r>
      <w:r w:rsidR="007F4D1D">
        <w:rPr>
          <w:rFonts w:ascii="Times New Roman" w:hAnsi="Times New Roman" w:cs="Times New Roman"/>
          <w:color w:val="333333"/>
          <w:sz w:val="24"/>
          <w:szCs w:val="24"/>
          <w:shd w:val="clear" w:color="auto" w:fill="FFFFFF"/>
        </w:rPr>
        <w:t xml:space="preserve">La Corte Interamericana de Derechos Humanos en </w:t>
      </w:r>
      <w:r w:rsidR="007F4D1D" w:rsidRPr="007F4D1D">
        <w:rPr>
          <w:rFonts w:ascii="Times New Roman" w:hAnsi="Times New Roman" w:cs="Times New Roman"/>
          <w:b/>
          <w:bCs/>
          <w:color w:val="333333"/>
          <w:sz w:val="24"/>
          <w:szCs w:val="24"/>
          <w:shd w:val="clear" w:color="auto" w:fill="FFFFFF"/>
        </w:rPr>
        <w:t>Caso Manuel Cepeda Vargas</w:t>
      </w:r>
      <w:r w:rsidR="0027568B" w:rsidRPr="00AB65AD">
        <w:rPr>
          <w:rFonts w:ascii="Times New Roman" w:hAnsi="Times New Roman" w:cs="Times New Roman"/>
          <w:bCs/>
          <w:color w:val="333333"/>
          <w:sz w:val="24"/>
          <w:szCs w:val="24"/>
          <w:shd w:val="clear" w:color="auto" w:fill="FFFFFF"/>
          <w:vertAlign w:val="superscript"/>
        </w:rPr>
        <w:footnoteReference w:id="12"/>
      </w:r>
      <w:r w:rsidR="007F4D1D" w:rsidRPr="007F4D1D">
        <w:rPr>
          <w:rFonts w:ascii="Times New Roman" w:hAnsi="Times New Roman" w:cs="Times New Roman"/>
          <w:b/>
          <w:bCs/>
          <w:color w:val="333333"/>
          <w:sz w:val="24"/>
          <w:szCs w:val="24"/>
          <w:shd w:val="clear" w:color="auto" w:fill="FFFFFF"/>
        </w:rPr>
        <w:t xml:space="preserve"> </w:t>
      </w:r>
      <w:r w:rsidR="007F4D1D">
        <w:rPr>
          <w:rFonts w:ascii="Times New Roman" w:hAnsi="Times New Roman" w:cs="Times New Roman"/>
          <w:color w:val="333333"/>
          <w:sz w:val="24"/>
          <w:szCs w:val="24"/>
          <w:shd w:val="clear" w:color="auto" w:fill="FFFFFF"/>
        </w:rPr>
        <w:t xml:space="preserve">se expidió sobre la violación al derecho a la vida en relación a la violación de los derechos políticos, </w:t>
      </w:r>
      <w:r w:rsidR="007F4D1D" w:rsidRPr="00CD18C2">
        <w:rPr>
          <w:rFonts w:ascii="Times New Roman" w:hAnsi="Times New Roman" w:cs="Times New Roman"/>
          <w:sz w:val="24"/>
          <w:szCs w:val="24"/>
        </w:rPr>
        <w:t xml:space="preserve">libertad de expresión y la libertad de asociación conjuntamente, en el entendido que estos derechos son de importancia fundamental dentro del Sistema Interamericano por </w:t>
      </w:r>
      <w:r w:rsidR="007F4D1D" w:rsidRPr="00CD18C2">
        <w:rPr>
          <w:rFonts w:ascii="Times New Roman" w:hAnsi="Times New Roman" w:cs="Times New Roman"/>
          <w:sz w:val="24"/>
          <w:szCs w:val="24"/>
        </w:rPr>
        <w:lastRenderedPageBreak/>
        <w:t>estar estrechamente interrelacionados para posibilitar, en conjunto, el juego democrático</w:t>
      </w:r>
      <w:r w:rsidR="007F4D1D" w:rsidRPr="00CD18C2">
        <w:rPr>
          <w:rStyle w:val="Refdenotaalpie"/>
          <w:rFonts w:ascii="Times New Roman" w:hAnsi="Times New Roman" w:cs="Times New Roman"/>
          <w:sz w:val="24"/>
          <w:szCs w:val="24"/>
        </w:rPr>
        <w:footnoteReference w:id="13"/>
      </w:r>
      <w:r w:rsidR="007F4D1D" w:rsidRPr="00CD18C2">
        <w:rPr>
          <w:rFonts w:ascii="Times New Roman" w:hAnsi="Times New Roman" w:cs="Times New Roman"/>
          <w:sz w:val="24"/>
          <w:szCs w:val="24"/>
        </w:rPr>
        <w:t xml:space="preserve">. </w:t>
      </w:r>
      <w:r w:rsidR="0027568B">
        <w:rPr>
          <w:rFonts w:ascii="Times New Roman" w:hAnsi="Times New Roman" w:cs="Times New Roman"/>
          <w:sz w:val="24"/>
          <w:szCs w:val="24"/>
        </w:rPr>
        <w:t>Afirmó:</w:t>
      </w:r>
    </w:p>
    <w:p w14:paraId="1EAA6C5D" w14:textId="77777777" w:rsidR="007F4D1D" w:rsidRPr="00CD18C2" w:rsidRDefault="007F4D1D" w:rsidP="007F4D1D">
      <w:pPr>
        <w:spacing w:line="360" w:lineRule="auto"/>
        <w:ind w:left="709" w:right="283"/>
        <w:jc w:val="both"/>
        <w:rPr>
          <w:rFonts w:ascii="Times New Roman" w:hAnsi="Times New Roman" w:cs="Times New Roman"/>
          <w:sz w:val="24"/>
          <w:szCs w:val="24"/>
        </w:rPr>
      </w:pPr>
      <w:r w:rsidRPr="00CD18C2">
        <w:rPr>
          <w:rFonts w:ascii="Times New Roman" w:hAnsi="Times New Roman" w:cs="Times New Roman"/>
          <w:sz w:val="24"/>
          <w:szCs w:val="24"/>
        </w:rPr>
        <w:t>172. La Corte considera que la Convención protege los elementos esenciales de la democracia (…) [y] ha establecido que es posible que la libertad de expresión se vea ilegítimamente restringida por condiciones de facto que coloquen, directa o indirectamente, en situación de riesgo o mayor vulnerabilidad a quienes la ejerzan. Por ello, el Estado debe abstenerse de actuar de manera tal que propicie, estimule, favorezca o profundice esa vulnerabilidad</w:t>
      </w:r>
      <w:r w:rsidRPr="00CD18C2">
        <w:rPr>
          <w:rStyle w:val="Refdenotaalpie"/>
          <w:rFonts w:ascii="Times New Roman" w:hAnsi="Times New Roman" w:cs="Times New Roman"/>
          <w:sz w:val="24"/>
          <w:szCs w:val="24"/>
        </w:rPr>
        <w:footnoteReference w:id="14"/>
      </w:r>
      <w:r w:rsidRPr="00CD18C2">
        <w:rPr>
          <w:rFonts w:ascii="Times New Roman" w:hAnsi="Times New Roman" w:cs="Times New Roman"/>
          <w:sz w:val="24"/>
          <w:szCs w:val="24"/>
        </w:rPr>
        <w:t xml:space="preserve"> y ha de adoptar, cuando sea pertinente, medidas necesarias y razonables para prevenir violaciones o proteger los derechos de quienes se encuentren en tal situación</w:t>
      </w:r>
      <w:r w:rsidRPr="00CD18C2">
        <w:rPr>
          <w:rStyle w:val="Refdenotaalpie"/>
          <w:rFonts w:ascii="Times New Roman" w:hAnsi="Times New Roman" w:cs="Times New Roman"/>
          <w:sz w:val="24"/>
          <w:szCs w:val="24"/>
        </w:rPr>
        <w:footnoteReference w:id="15"/>
      </w:r>
      <w:r w:rsidRPr="00CD18C2">
        <w:rPr>
          <w:rFonts w:ascii="Times New Roman" w:hAnsi="Times New Roman" w:cs="Times New Roman"/>
          <w:sz w:val="24"/>
          <w:szCs w:val="24"/>
        </w:rPr>
        <w:t>. Igualmente, la libertad de expresión, particularmente en asuntos de interés público, garantiza la difusión de información o ideas, incluso las que resultan ingratas para el Estado o cualquier sector de la población</w:t>
      </w:r>
      <w:r w:rsidRPr="00CD18C2">
        <w:rPr>
          <w:rStyle w:val="Refdenotaalpie"/>
          <w:rFonts w:ascii="Times New Roman" w:hAnsi="Times New Roman" w:cs="Times New Roman"/>
          <w:sz w:val="24"/>
          <w:szCs w:val="24"/>
        </w:rPr>
        <w:footnoteReference w:id="16"/>
      </w:r>
      <w:r w:rsidRPr="00CD18C2">
        <w:rPr>
          <w:rFonts w:ascii="Times New Roman" w:hAnsi="Times New Roman" w:cs="Times New Roman"/>
          <w:sz w:val="24"/>
          <w:szCs w:val="24"/>
        </w:rPr>
        <w:t xml:space="preserve">. (…) </w:t>
      </w:r>
    </w:p>
    <w:p w14:paraId="0B0BF704" w14:textId="77777777" w:rsidR="007F4D1D" w:rsidRPr="00CD18C2" w:rsidRDefault="007F4D1D" w:rsidP="007F4D1D">
      <w:pPr>
        <w:spacing w:line="360" w:lineRule="auto"/>
        <w:ind w:left="709" w:right="283"/>
        <w:jc w:val="both"/>
        <w:rPr>
          <w:rFonts w:ascii="Times New Roman" w:hAnsi="Times New Roman" w:cs="Times New Roman"/>
          <w:sz w:val="24"/>
          <w:szCs w:val="24"/>
        </w:rPr>
      </w:pPr>
      <w:r w:rsidRPr="00CD18C2">
        <w:rPr>
          <w:rFonts w:ascii="Times New Roman" w:hAnsi="Times New Roman" w:cs="Times New Roman"/>
          <w:sz w:val="24"/>
          <w:szCs w:val="24"/>
        </w:rPr>
        <w:t xml:space="preserve">173. En este sentido, es de resaltar que las voces de oposición resultan imprescindibles para una sociedad democrática, sin las cuales no es posible el logro de acuerdos que atiendan a las diferentes visiones que prevalecen en una </w:t>
      </w:r>
      <w:r w:rsidRPr="00CD18C2">
        <w:rPr>
          <w:rFonts w:ascii="Times New Roman" w:hAnsi="Times New Roman" w:cs="Times New Roman"/>
          <w:sz w:val="24"/>
          <w:szCs w:val="24"/>
        </w:rPr>
        <w:lastRenderedPageBreak/>
        <w:t>sociedad</w:t>
      </w:r>
      <w:r w:rsidRPr="00CD18C2">
        <w:rPr>
          <w:rStyle w:val="Refdenotaalpie"/>
          <w:rFonts w:ascii="Times New Roman" w:hAnsi="Times New Roman" w:cs="Times New Roman"/>
          <w:sz w:val="24"/>
          <w:szCs w:val="24"/>
        </w:rPr>
        <w:footnoteReference w:id="17"/>
      </w:r>
      <w:r w:rsidRPr="00CD18C2">
        <w:rPr>
          <w:rFonts w:ascii="Times New Roman" w:hAnsi="Times New Roman" w:cs="Times New Roman"/>
          <w:sz w:val="24"/>
          <w:szCs w:val="24"/>
        </w:rPr>
        <w:t>. Por ello, la participación efectiva de personas, grupos y organizaciones y partidos políticos de oposición en una sociedad democrática debe ser garantizada por los Estados, mediante normativas y prácticas adecuadas que posibiliten su acceso real y efectivo a los diferentes espacios deliberativos en términos igualitarios, pero también mediante la adopción de medidas necesarias para garantizar su pleno ejercicio, atendiendo la situación de vulnerabilidad en que se encuentran los integrantes de ciertos sectores o grupos sociales</w:t>
      </w:r>
      <w:r w:rsidRPr="00CD18C2">
        <w:rPr>
          <w:rStyle w:val="Refdenotaalpie"/>
          <w:rFonts w:ascii="Times New Roman" w:hAnsi="Times New Roman" w:cs="Times New Roman"/>
          <w:sz w:val="24"/>
          <w:szCs w:val="24"/>
        </w:rPr>
        <w:footnoteReference w:id="18"/>
      </w:r>
      <w:r w:rsidRPr="00CD18C2">
        <w:rPr>
          <w:rFonts w:ascii="Times New Roman" w:hAnsi="Times New Roman" w:cs="Times New Roman"/>
          <w:sz w:val="24"/>
          <w:szCs w:val="24"/>
        </w:rPr>
        <w:t>.</w:t>
      </w:r>
    </w:p>
    <w:p w14:paraId="65101603" w14:textId="77777777" w:rsidR="007F4D1D" w:rsidRPr="00CD18C2" w:rsidRDefault="007F4D1D" w:rsidP="007F4D1D">
      <w:pPr>
        <w:spacing w:line="360" w:lineRule="auto"/>
        <w:ind w:left="709" w:right="283"/>
        <w:jc w:val="both"/>
        <w:rPr>
          <w:rFonts w:ascii="Times New Roman" w:hAnsi="Times New Roman" w:cs="Times New Roman"/>
          <w:sz w:val="24"/>
          <w:szCs w:val="24"/>
        </w:rPr>
      </w:pPr>
      <w:r w:rsidRPr="00CD18C2">
        <w:rPr>
          <w:rFonts w:ascii="Times New Roman" w:hAnsi="Times New Roman" w:cs="Times New Roman"/>
          <w:sz w:val="24"/>
          <w:szCs w:val="24"/>
        </w:rPr>
        <w:t>(…)</w:t>
      </w:r>
    </w:p>
    <w:p w14:paraId="35296ED2" w14:textId="77777777" w:rsidR="00CC2B0A" w:rsidRDefault="007F4D1D" w:rsidP="007F4D1D">
      <w:pPr>
        <w:spacing w:line="360" w:lineRule="auto"/>
        <w:ind w:left="709" w:right="283"/>
        <w:jc w:val="both"/>
        <w:rPr>
          <w:rFonts w:ascii="Times New Roman" w:hAnsi="Times New Roman" w:cs="Times New Roman"/>
          <w:sz w:val="24"/>
          <w:szCs w:val="24"/>
        </w:rPr>
      </w:pPr>
      <w:r w:rsidRPr="00CD18C2">
        <w:rPr>
          <w:rFonts w:ascii="Times New Roman" w:hAnsi="Times New Roman" w:cs="Times New Roman"/>
          <w:sz w:val="24"/>
          <w:szCs w:val="24"/>
        </w:rPr>
        <w:t xml:space="preserve">176. </w:t>
      </w:r>
      <w:r w:rsidR="00CC2B0A">
        <w:rPr>
          <w:rFonts w:ascii="Times New Roman" w:hAnsi="Times New Roman" w:cs="Times New Roman"/>
          <w:sz w:val="24"/>
          <w:szCs w:val="24"/>
        </w:rPr>
        <w:t>(</w:t>
      </w:r>
      <w:r w:rsidRPr="00CD18C2">
        <w:rPr>
          <w:rFonts w:ascii="Times New Roman" w:hAnsi="Times New Roman" w:cs="Times New Roman"/>
          <w:sz w:val="24"/>
          <w:szCs w:val="24"/>
        </w:rPr>
        <w:t>…</w:t>
      </w:r>
      <w:r w:rsidR="00CC2B0A">
        <w:rPr>
          <w:rFonts w:ascii="Times New Roman" w:hAnsi="Times New Roman" w:cs="Times New Roman"/>
          <w:sz w:val="24"/>
          <w:szCs w:val="24"/>
        </w:rPr>
        <w:t>)</w:t>
      </w:r>
      <w:r w:rsidRPr="00CD18C2">
        <w:rPr>
          <w:rFonts w:ascii="Times New Roman" w:hAnsi="Times New Roman" w:cs="Times New Roman"/>
          <w:sz w:val="24"/>
          <w:szCs w:val="24"/>
        </w:rPr>
        <w:t xml:space="preserve"> si bien puede considerarse que aún bajo amenazas el Senador Cepeda Vargas pudo ejercer sus derechos políticos, libertad de expresión y libertad de asociación, ciertamente fue el hecho de continuar ejerciéndolos lo que conllevó su ejecución extrajudicial. Lo anterior, precisamente porque el objetivo de ésta era impedir su militancia política, para lo cual el ejercicio de esos derechos era fundamental. Por ende, el Estado no generó condiciones ni las debidas garantías para que … tuviera una oportunidad real de ejercer … su participación libre en el debate público, en ejercicio de su libertad de expresión. </w:t>
      </w:r>
      <w:r w:rsidR="00CC2B0A">
        <w:rPr>
          <w:rFonts w:ascii="Times New Roman" w:hAnsi="Times New Roman" w:cs="Times New Roman"/>
          <w:sz w:val="24"/>
          <w:szCs w:val="24"/>
        </w:rPr>
        <w:t>(…)</w:t>
      </w:r>
    </w:p>
    <w:p w14:paraId="118D4030" w14:textId="77777777" w:rsidR="007F4D1D" w:rsidRPr="00CD18C2" w:rsidRDefault="007F4D1D" w:rsidP="007F4D1D">
      <w:pPr>
        <w:spacing w:line="360" w:lineRule="auto"/>
        <w:ind w:left="709" w:right="283"/>
        <w:jc w:val="both"/>
        <w:rPr>
          <w:rFonts w:ascii="Times New Roman" w:hAnsi="Times New Roman" w:cs="Times New Roman"/>
          <w:sz w:val="24"/>
          <w:szCs w:val="24"/>
        </w:rPr>
      </w:pPr>
      <w:r w:rsidRPr="00CD18C2">
        <w:rPr>
          <w:rFonts w:ascii="Times New Roman" w:hAnsi="Times New Roman" w:cs="Times New Roman"/>
          <w:sz w:val="24"/>
          <w:szCs w:val="24"/>
        </w:rPr>
        <w:t xml:space="preserve">177. En atención a lo anterior, la Corte considera que las amenazas y la desprotección deliberada que enfrentó el Senador Cepeda Vargas, motivadas por su participación en los espacios democráticos a los que tenía acceso, se manifestaron en restricciones o presiones indebidas o ilegítimas de sus derechos políticos, de libertad de expresión y de libertad de asociación, pero también en un quebrantamiento de las reglas del juego democrático. A su vez, al estar reconocido el móvil político del homicidio (supra párr. 73), la Corte considera que la ejecución </w:t>
      </w:r>
      <w:r w:rsidRPr="00CD18C2">
        <w:rPr>
          <w:rFonts w:ascii="Times New Roman" w:hAnsi="Times New Roman" w:cs="Times New Roman"/>
          <w:sz w:val="24"/>
          <w:szCs w:val="24"/>
        </w:rPr>
        <w:lastRenderedPageBreak/>
        <w:t>extrajudicial de un oponente por razones políticas no sólo implica la violación de diversos derechos humanos, sino que atenta contra los principios en que se fundamenta el Estado de Derecho y vulnera directamente el régimen democrático, en la medida que conlleva la falta de sujeción de distintas autoridades a las obligaciones de protección de derechos humanos reconocidos nacional e internacionalmente y a los órganos internos que controlan su observancia.</w:t>
      </w:r>
    </w:p>
    <w:p w14:paraId="72E4395E" w14:textId="6D4C1EB1" w:rsidR="00AB65AD" w:rsidRPr="00AB65AD" w:rsidRDefault="00171F23" w:rsidP="00AB65AD">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8</w:t>
      </w:r>
      <w:r w:rsidR="00AB65AD">
        <w:rPr>
          <w:rFonts w:ascii="Times New Roman" w:hAnsi="Times New Roman" w:cs="Times New Roman"/>
          <w:b/>
          <w:color w:val="333333"/>
          <w:sz w:val="24"/>
          <w:szCs w:val="24"/>
          <w:shd w:val="clear" w:color="auto" w:fill="FFFFFF"/>
        </w:rPr>
        <w:t>.</w:t>
      </w:r>
      <w:r w:rsidR="00AB65AD">
        <w:rPr>
          <w:rFonts w:ascii="Times New Roman" w:hAnsi="Times New Roman" w:cs="Times New Roman"/>
          <w:b/>
          <w:color w:val="333333"/>
          <w:sz w:val="24"/>
          <w:szCs w:val="24"/>
          <w:shd w:val="clear" w:color="auto" w:fill="FFFFFF"/>
        </w:rPr>
        <w:tab/>
      </w:r>
      <w:r w:rsidR="00AB65AD">
        <w:rPr>
          <w:rFonts w:ascii="Times New Roman" w:hAnsi="Times New Roman" w:cs="Times New Roman"/>
          <w:color w:val="333333"/>
          <w:sz w:val="24"/>
          <w:szCs w:val="24"/>
          <w:shd w:val="clear" w:color="auto" w:fill="FFFFFF"/>
        </w:rPr>
        <w:t>Es claro el objetivo de las declaraciones de la Ministra de Seguridad y de los G</w:t>
      </w:r>
      <w:r w:rsidR="00527F84">
        <w:rPr>
          <w:rFonts w:ascii="Times New Roman" w:hAnsi="Times New Roman" w:cs="Times New Roman"/>
          <w:color w:val="333333"/>
          <w:sz w:val="24"/>
          <w:szCs w:val="24"/>
          <w:shd w:val="clear" w:color="auto" w:fill="FFFFFF"/>
        </w:rPr>
        <w:t>obernadores: generar miedo. E</w:t>
      </w:r>
      <w:r w:rsidR="00AB65AD">
        <w:rPr>
          <w:rFonts w:ascii="Times New Roman" w:hAnsi="Times New Roman" w:cs="Times New Roman"/>
          <w:color w:val="333333"/>
          <w:sz w:val="24"/>
          <w:szCs w:val="24"/>
          <w:shd w:val="clear" w:color="auto" w:fill="FFFFFF"/>
        </w:rPr>
        <w:t xml:space="preserve">l </w:t>
      </w:r>
      <w:r w:rsidR="00AB65AD" w:rsidRPr="00AB65AD">
        <w:rPr>
          <w:rFonts w:ascii="Times New Roman" w:hAnsi="Times New Roman" w:cs="Times New Roman"/>
          <w:b/>
          <w:color w:val="333333"/>
          <w:sz w:val="24"/>
          <w:szCs w:val="24"/>
          <w:shd w:val="clear" w:color="auto" w:fill="FFFFFF"/>
        </w:rPr>
        <w:t>INFORME ANUAL 2005</w:t>
      </w:r>
      <w:r w:rsidR="00AB65AD" w:rsidRPr="00AB65AD">
        <w:rPr>
          <w:rFonts w:ascii="Times New Roman" w:hAnsi="Times New Roman" w:cs="Times New Roman"/>
          <w:color w:val="333333"/>
          <w:sz w:val="24"/>
          <w:szCs w:val="24"/>
          <w:shd w:val="clear" w:color="auto" w:fill="FFFFFF"/>
        </w:rPr>
        <w:t xml:space="preserve"> </w:t>
      </w:r>
      <w:r w:rsidR="00AB65AD">
        <w:rPr>
          <w:rFonts w:ascii="Times New Roman" w:hAnsi="Times New Roman" w:cs="Times New Roman"/>
          <w:color w:val="333333"/>
          <w:sz w:val="24"/>
          <w:szCs w:val="24"/>
          <w:shd w:val="clear" w:color="auto" w:fill="FFFFFF"/>
        </w:rPr>
        <w:t>citado</w:t>
      </w:r>
      <w:r w:rsidR="00AB65AD" w:rsidRPr="00AB65AD">
        <w:rPr>
          <w:rFonts w:ascii="Times New Roman" w:hAnsi="Times New Roman" w:cs="Times New Roman"/>
          <w:bCs/>
          <w:color w:val="333333"/>
          <w:sz w:val="24"/>
          <w:szCs w:val="24"/>
          <w:shd w:val="clear" w:color="auto" w:fill="FFFFFF"/>
          <w:vertAlign w:val="superscript"/>
        </w:rPr>
        <w:footnoteReference w:id="19"/>
      </w:r>
      <w:r w:rsidR="00AB65AD">
        <w:rPr>
          <w:rFonts w:ascii="Times New Roman" w:hAnsi="Times New Roman" w:cs="Times New Roman"/>
          <w:color w:val="333333"/>
          <w:sz w:val="24"/>
          <w:szCs w:val="24"/>
          <w:shd w:val="clear" w:color="auto" w:fill="FFFFFF"/>
        </w:rPr>
        <w:t xml:space="preserve">, </w:t>
      </w:r>
      <w:r w:rsidR="00CC2B0A">
        <w:rPr>
          <w:rFonts w:ascii="Times New Roman" w:hAnsi="Times New Roman" w:cs="Times New Roman"/>
          <w:color w:val="333333"/>
          <w:sz w:val="24"/>
          <w:szCs w:val="24"/>
          <w:shd w:val="clear" w:color="auto" w:fill="FFFFFF"/>
        </w:rPr>
        <w:t>advierte sobre estas prácticas violatorias a los derechos de las personas:</w:t>
      </w:r>
    </w:p>
    <w:p w14:paraId="3879B360" w14:textId="77777777" w:rsidR="00AB65AD" w:rsidRPr="00AB65AD" w:rsidRDefault="00AB65AD" w:rsidP="00AB65AD">
      <w:pPr>
        <w:spacing w:line="360" w:lineRule="auto"/>
        <w:ind w:left="709" w:right="567"/>
        <w:jc w:val="both"/>
        <w:rPr>
          <w:rFonts w:ascii="Times New Roman" w:hAnsi="Times New Roman" w:cs="Times New Roman"/>
          <w:color w:val="333333"/>
          <w:sz w:val="24"/>
          <w:szCs w:val="24"/>
          <w:shd w:val="clear" w:color="auto" w:fill="FFFFFF"/>
        </w:rPr>
      </w:pPr>
      <w:r w:rsidRPr="00AB65AD">
        <w:rPr>
          <w:rFonts w:ascii="Times New Roman" w:hAnsi="Times New Roman" w:cs="Times New Roman"/>
          <w:color w:val="333333"/>
          <w:sz w:val="24"/>
          <w:szCs w:val="24"/>
          <w:shd w:val="clear" w:color="auto" w:fill="FFFFFF"/>
        </w:rPr>
        <w:t>59.</w:t>
      </w:r>
      <w:r w:rsidRPr="00AB65AD">
        <w:rPr>
          <w:rFonts w:ascii="Times New Roman" w:hAnsi="Times New Roman" w:cs="Times New Roman"/>
          <w:color w:val="333333"/>
          <w:sz w:val="24"/>
          <w:szCs w:val="24"/>
          <w:shd w:val="clear" w:color="auto" w:fill="FFFFFF"/>
        </w:rPr>
        <w:tab/>
        <w:t>De acuerdo con la Corte Europea, una manifestación puede causar molestias u ofender a aquellas personas que se oponen a las ideas o reclamos que la manifestación intenta promover. Sin embargo, los manifestantes deben poder manifestarse sin tener miedo de sufrir violencia física por parte de sus opositores; dicho miedo podría disuadir a asociaciones o grupos de personas que tienen ideas o intereses en común para que no expresen sus opiniones sobre cuestiones sumamente controvertidas que afectan a la comunidad. En una democracia el derecho de oponerse a una manifestación no puede extenderse hasta el punto de inhibir el ejercicio del derecho a manifestarse.</w:t>
      </w:r>
    </w:p>
    <w:p w14:paraId="7E691A28" w14:textId="3A63F3FC" w:rsidR="0084096E" w:rsidRPr="0084096E" w:rsidRDefault="0084096E" w:rsidP="0084096E">
      <w:pPr>
        <w:spacing w:line="360" w:lineRule="auto"/>
        <w:ind w:right="283"/>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9.</w:t>
      </w:r>
      <w:r>
        <w:rPr>
          <w:rFonts w:ascii="Times New Roman" w:hAnsi="Times New Roman" w:cs="Times New Roman"/>
          <w:b/>
          <w:color w:val="333333"/>
          <w:sz w:val="24"/>
          <w:szCs w:val="24"/>
          <w:shd w:val="clear" w:color="auto" w:fill="FFFFFF"/>
        </w:rPr>
        <w:tab/>
      </w:r>
      <w:r>
        <w:rPr>
          <w:rFonts w:ascii="Times New Roman" w:hAnsi="Times New Roman" w:cs="Times New Roman"/>
          <w:color w:val="333333"/>
          <w:sz w:val="24"/>
          <w:szCs w:val="24"/>
          <w:shd w:val="clear" w:color="auto" w:fill="FFFFFF"/>
        </w:rPr>
        <w:t>El Informe Anual de 2015 de la CIDH que en el día de la fecha se publicó en el Capítulo Protesta Social en Argentina afirma:</w:t>
      </w:r>
    </w:p>
    <w:p w14:paraId="727141EB" w14:textId="6F4EEEE9" w:rsidR="0084096E" w:rsidRDefault="0084096E" w:rsidP="0084096E">
      <w:pPr>
        <w:tabs>
          <w:tab w:val="left" w:pos="8505"/>
        </w:tabs>
        <w:spacing w:line="360" w:lineRule="auto"/>
        <w:ind w:left="709" w:right="283"/>
        <w:jc w:val="both"/>
        <w:rPr>
          <w:rFonts w:ascii="Times New Roman" w:hAnsi="Times New Roman" w:cs="Times New Roman"/>
          <w:color w:val="333333"/>
          <w:sz w:val="24"/>
          <w:szCs w:val="24"/>
          <w:shd w:val="clear" w:color="auto" w:fill="FFFFFF"/>
          <w:lang w:val="es-ES_tradnl"/>
        </w:rPr>
      </w:pPr>
      <w:r w:rsidRPr="0084096E">
        <w:rPr>
          <w:rFonts w:ascii="Times New Roman" w:hAnsi="Times New Roman" w:cs="Times New Roman"/>
          <w:color w:val="333333"/>
          <w:sz w:val="24"/>
          <w:szCs w:val="24"/>
          <w:shd w:val="clear" w:color="auto" w:fill="FFFFFF"/>
          <w:lang w:val="es-ES_tradnl"/>
        </w:rPr>
        <w:t>63. En contextos de manifestaciones y situaciones de alta conflictividad social, los Estados deben apegarse a los más estrictos estándares internacionales en materia de libertad de expresión de forma tal que se les garantice este derecho plenamente, sin intervenciones indebidas contra las personas, de conformidad con el principio 2 de la Declaración de Principios de la CIDH</w:t>
      </w:r>
      <w:r w:rsidRPr="00AB65AD">
        <w:rPr>
          <w:rFonts w:ascii="Times New Roman" w:hAnsi="Times New Roman" w:cs="Times New Roman"/>
          <w:bCs/>
          <w:color w:val="333333"/>
          <w:sz w:val="24"/>
          <w:szCs w:val="24"/>
          <w:shd w:val="clear" w:color="auto" w:fill="FFFFFF"/>
          <w:vertAlign w:val="superscript"/>
        </w:rPr>
        <w:footnoteReference w:id="20"/>
      </w:r>
      <w:r w:rsidRPr="0084096E">
        <w:rPr>
          <w:rFonts w:ascii="Times New Roman" w:hAnsi="Times New Roman" w:cs="Times New Roman"/>
          <w:color w:val="333333"/>
          <w:sz w:val="24"/>
          <w:szCs w:val="24"/>
          <w:shd w:val="clear" w:color="auto" w:fill="FFFFFF"/>
          <w:lang w:val="es-ES_tradnl"/>
        </w:rPr>
        <w:t xml:space="preserve">. La Comisión Interamericana ha </w:t>
      </w:r>
      <w:r w:rsidRPr="0084096E">
        <w:rPr>
          <w:rFonts w:ascii="Times New Roman" w:hAnsi="Times New Roman" w:cs="Times New Roman"/>
          <w:color w:val="333333"/>
          <w:sz w:val="24"/>
          <w:szCs w:val="24"/>
          <w:shd w:val="clear" w:color="auto" w:fill="FFFFFF"/>
          <w:lang w:val="es-ES_tradnl"/>
        </w:rPr>
        <w:lastRenderedPageBreak/>
        <w:t>reconocido el derecho a manifestarse públicamente o a la protesta social, incluidos en los artículos 13 y 15 de la Convención Americana</w:t>
      </w:r>
      <w:r w:rsidRPr="00AB65AD">
        <w:rPr>
          <w:rFonts w:ascii="Times New Roman" w:hAnsi="Times New Roman" w:cs="Times New Roman"/>
          <w:bCs/>
          <w:color w:val="333333"/>
          <w:sz w:val="24"/>
          <w:szCs w:val="24"/>
          <w:shd w:val="clear" w:color="auto" w:fill="FFFFFF"/>
          <w:vertAlign w:val="superscript"/>
        </w:rPr>
        <w:footnoteReference w:id="21"/>
      </w:r>
      <w:r w:rsidRPr="0084096E">
        <w:rPr>
          <w:rFonts w:ascii="Times New Roman" w:hAnsi="Times New Roman" w:cs="Times New Roman"/>
          <w:color w:val="333333"/>
          <w:sz w:val="24"/>
          <w:szCs w:val="24"/>
          <w:shd w:val="clear" w:color="auto" w:fill="FFFFFF"/>
          <w:lang w:val="es-ES_tradnl"/>
        </w:rPr>
        <w:t xml:space="preserve">. </w:t>
      </w:r>
    </w:p>
    <w:p w14:paraId="58CDD221" w14:textId="0CB8E048" w:rsidR="0084096E" w:rsidRDefault="0084096E" w:rsidP="0084096E">
      <w:pPr>
        <w:tabs>
          <w:tab w:val="left" w:pos="8505"/>
        </w:tabs>
        <w:spacing w:line="360" w:lineRule="auto"/>
        <w:ind w:left="709" w:right="283"/>
        <w:jc w:val="both"/>
        <w:rPr>
          <w:rFonts w:ascii="Times New Roman" w:hAnsi="Times New Roman" w:cs="Times New Roman"/>
          <w:color w:val="333333"/>
          <w:sz w:val="24"/>
          <w:szCs w:val="24"/>
          <w:shd w:val="clear" w:color="auto" w:fill="FFFFFF"/>
          <w:lang w:val="es-ES_tradnl"/>
        </w:rPr>
      </w:pPr>
      <w:r w:rsidRPr="0084096E">
        <w:rPr>
          <w:rFonts w:ascii="Times New Roman" w:hAnsi="Times New Roman" w:cs="Times New Roman"/>
          <w:color w:val="333333"/>
          <w:sz w:val="24"/>
          <w:szCs w:val="24"/>
          <w:shd w:val="clear" w:color="auto" w:fill="FFFFFF"/>
          <w:lang w:val="es-ES_tradnl"/>
        </w:rPr>
        <w:t>64. La CIDH ha reiterado que la protesta social es una herramienta fundamental para la labor de defensa de los derechos humanos y esencial para la expresión crítica política y social de las actividades de las autoridades. La Comisión ha señalado que “resulta en principio inadmisible la penalización per se de las demostraciones en la vía pública cuando se realizan en el marco del derecho a la libertad de expresión y del derecho de reunión”</w:t>
      </w:r>
      <w:r w:rsidRPr="00AB65AD">
        <w:rPr>
          <w:rFonts w:ascii="Times New Roman" w:hAnsi="Times New Roman" w:cs="Times New Roman"/>
          <w:bCs/>
          <w:color w:val="333333"/>
          <w:sz w:val="24"/>
          <w:szCs w:val="24"/>
          <w:shd w:val="clear" w:color="auto" w:fill="FFFFFF"/>
          <w:vertAlign w:val="superscript"/>
        </w:rPr>
        <w:footnoteReference w:id="22"/>
      </w:r>
      <w:r w:rsidRPr="0084096E">
        <w:rPr>
          <w:rFonts w:ascii="Times New Roman" w:hAnsi="Times New Roman" w:cs="Times New Roman"/>
          <w:color w:val="333333"/>
          <w:sz w:val="24"/>
          <w:szCs w:val="24"/>
          <w:shd w:val="clear" w:color="auto" w:fill="FFFFFF"/>
          <w:lang w:val="es-ES_tradnl"/>
        </w:rPr>
        <w:t xml:space="preserve"> y que “el ejercicio del derecho de reunión a través de la protesta social no debe sujetarse a una autorización por parte de las autoridades ni a requisitos excesivos que dificulten su realización”</w:t>
      </w:r>
      <w:r w:rsidRPr="00AB65AD">
        <w:rPr>
          <w:rFonts w:ascii="Times New Roman" w:hAnsi="Times New Roman" w:cs="Times New Roman"/>
          <w:bCs/>
          <w:color w:val="333333"/>
          <w:sz w:val="24"/>
          <w:szCs w:val="24"/>
          <w:shd w:val="clear" w:color="auto" w:fill="FFFFFF"/>
          <w:vertAlign w:val="superscript"/>
        </w:rPr>
        <w:footnoteReference w:id="23"/>
      </w:r>
      <w:r w:rsidRPr="0084096E">
        <w:rPr>
          <w:rFonts w:ascii="Times New Roman" w:hAnsi="Times New Roman" w:cs="Times New Roman"/>
          <w:color w:val="333333"/>
          <w:sz w:val="24"/>
          <w:szCs w:val="24"/>
          <w:shd w:val="clear" w:color="auto" w:fill="FFFFFF"/>
          <w:lang w:val="es-ES_tradnl"/>
        </w:rPr>
        <w:t xml:space="preserve">. </w:t>
      </w:r>
    </w:p>
    <w:p w14:paraId="33D17702" w14:textId="190E6704" w:rsidR="0084096E" w:rsidRDefault="0084096E" w:rsidP="0084096E">
      <w:pPr>
        <w:tabs>
          <w:tab w:val="left" w:pos="8505"/>
        </w:tabs>
        <w:spacing w:line="360" w:lineRule="auto"/>
        <w:ind w:left="709" w:right="283"/>
        <w:jc w:val="both"/>
        <w:rPr>
          <w:rFonts w:ascii="Times New Roman" w:hAnsi="Times New Roman" w:cs="Times New Roman"/>
          <w:color w:val="333333"/>
          <w:sz w:val="24"/>
          <w:szCs w:val="24"/>
          <w:shd w:val="clear" w:color="auto" w:fill="FFFFFF"/>
          <w:lang w:val="es-ES_tradnl"/>
        </w:rPr>
      </w:pPr>
      <w:r w:rsidRPr="0084096E">
        <w:rPr>
          <w:rFonts w:ascii="Times New Roman" w:hAnsi="Times New Roman" w:cs="Times New Roman"/>
          <w:color w:val="333333"/>
          <w:sz w:val="24"/>
          <w:szCs w:val="24"/>
          <w:shd w:val="clear" w:color="auto" w:fill="FFFFFF"/>
          <w:lang w:val="es-ES_tradnl"/>
        </w:rPr>
        <w:t xml:space="preserve">65. Asimismo, en la Declaración Conjunta sobre violencia contra los y las periodistas en el marco de manifestaciones sociales, adoptada en 2013, se indica que los derechos de reunión y libertad de expresión “son fundamentales y su garantía es una condición necesaria para la existencia y el funcionamiento de una sociedad democrática. Un Estado puede imponer limitaciones razonables a las manifestaciones con el fin de asegurar el desarrollo pacífico de las mismas o dispersar aquellas que se tornan violentas, siempre que tales límites se encuentren regidos por los principios de legalidad, necesidad y proporcionalidad. Además, la desconcentración de una manifestación debe justificarse en el deber de protección de las personas, y deben utilizarse las medidas más seguras y menos lesivas para los manifestantes. El uso de la fuerza en manifestaciones públicas debe ser excepcional </w:t>
      </w:r>
      <w:r w:rsidRPr="0084096E">
        <w:rPr>
          <w:rFonts w:ascii="Times New Roman" w:hAnsi="Times New Roman" w:cs="Times New Roman"/>
          <w:color w:val="333333"/>
          <w:sz w:val="24"/>
          <w:szCs w:val="24"/>
          <w:shd w:val="clear" w:color="auto" w:fill="FFFFFF"/>
          <w:lang w:val="es-ES_tradnl"/>
        </w:rPr>
        <w:lastRenderedPageBreak/>
        <w:t>y en circunstancias estrictamente necesarias conforme a los principios internacionalmente reconocidos”</w:t>
      </w:r>
      <w:r w:rsidRPr="00AB65AD">
        <w:rPr>
          <w:rFonts w:ascii="Times New Roman" w:hAnsi="Times New Roman" w:cs="Times New Roman"/>
          <w:bCs/>
          <w:color w:val="333333"/>
          <w:sz w:val="24"/>
          <w:szCs w:val="24"/>
          <w:shd w:val="clear" w:color="auto" w:fill="FFFFFF"/>
          <w:vertAlign w:val="superscript"/>
        </w:rPr>
        <w:footnoteReference w:id="24"/>
      </w:r>
      <w:r w:rsidRPr="0084096E">
        <w:rPr>
          <w:rFonts w:ascii="Times New Roman" w:hAnsi="Times New Roman" w:cs="Times New Roman"/>
          <w:color w:val="333333"/>
          <w:sz w:val="24"/>
          <w:szCs w:val="24"/>
          <w:shd w:val="clear" w:color="auto" w:fill="FFFFFF"/>
          <w:lang w:val="es-ES_tradnl"/>
        </w:rPr>
        <w:t>.</w:t>
      </w:r>
    </w:p>
    <w:p w14:paraId="173BC003" w14:textId="5892B6E1" w:rsidR="0084096E" w:rsidRPr="0084096E" w:rsidRDefault="0084096E" w:rsidP="0084096E">
      <w:pPr>
        <w:tabs>
          <w:tab w:val="left" w:pos="8505"/>
        </w:tabs>
        <w:spacing w:line="360" w:lineRule="auto"/>
        <w:ind w:left="709" w:right="283"/>
        <w:jc w:val="both"/>
        <w:rPr>
          <w:rFonts w:ascii="Times New Roman" w:hAnsi="Times New Roman" w:cs="Times New Roman"/>
          <w:color w:val="333333"/>
          <w:sz w:val="24"/>
          <w:szCs w:val="24"/>
          <w:shd w:val="clear" w:color="auto" w:fill="FFFFFF"/>
          <w:lang w:val="es-ES_tradnl"/>
        </w:rPr>
      </w:pPr>
      <w:r w:rsidRPr="0084096E">
        <w:rPr>
          <w:rFonts w:ascii="Times New Roman" w:hAnsi="Times New Roman" w:cs="Times New Roman"/>
          <w:color w:val="333333"/>
          <w:sz w:val="24"/>
          <w:szCs w:val="24"/>
          <w:shd w:val="clear" w:color="auto" w:fill="FFFFFF"/>
          <w:lang w:val="es-ES_tradnl"/>
        </w:rPr>
        <w:t>66. Finalmente, la Comisión Interamericana ha encontrado que cualquier clase de injerencia arbitraria o abusiva que afecte la privacidad de las y los defensores de derechos humanos y sus organizaciones, se encuentra prohibida por la Declaración y la Convención Americanas</w:t>
      </w:r>
      <w:r w:rsidRPr="00AB65AD">
        <w:rPr>
          <w:rFonts w:ascii="Times New Roman" w:hAnsi="Times New Roman" w:cs="Times New Roman"/>
          <w:bCs/>
          <w:color w:val="333333"/>
          <w:sz w:val="24"/>
          <w:szCs w:val="24"/>
          <w:shd w:val="clear" w:color="auto" w:fill="FFFFFF"/>
          <w:vertAlign w:val="superscript"/>
        </w:rPr>
        <w:footnoteReference w:id="25"/>
      </w:r>
      <w:r w:rsidRPr="0084096E">
        <w:rPr>
          <w:rFonts w:ascii="Times New Roman" w:hAnsi="Times New Roman" w:cs="Times New Roman"/>
          <w:color w:val="333333"/>
          <w:sz w:val="24"/>
          <w:szCs w:val="24"/>
          <w:shd w:val="clear" w:color="auto" w:fill="FFFFFF"/>
          <w:lang w:val="es-ES_tradnl"/>
        </w:rPr>
        <w:t>.</w:t>
      </w:r>
    </w:p>
    <w:p w14:paraId="0135B127" w14:textId="77777777" w:rsidR="0084096E" w:rsidRPr="0084096E" w:rsidRDefault="0084096E" w:rsidP="0084096E">
      <w:pPr>
        <w:spacing w:line="360" w:lineRule="auto"/>
        <w:ind w:right="283"/>
        <w:jc w:val="both"/>
        <w:rPr>
          <w:rFonts w:ascii="Times New Roman" w:hAnsi="Times New Roman" w:cs="Times New Roman"/>
          <w:color w:val="333333"/>
          <w:sz w:val="24"/>
          <w:szCs w:val="24"/>
          <w:shd w:val="clear" w:color="auto" w:fill="FFFFFF"/>
          <w:lang w:val="es-ES_tradnl"/>
        </w:rPr>
      </w:pPr>
    </w:p>
    <w:p w14:paraId="2FE336D4" w14:textId="0EE3F7C2" w:rsidR="00AB65AD" w:rsidRPr="0084096E" w:rsidRDefault="00AB65AD" w:rsidP="00CB7231">
      <w:pPr>
        <w:spacing w:line="360" w:lineRule="auto"/>
        <w:ind w:right="283"/>
        <w:jc w:val="both"/>
        <w:rPr>
          <w:rFonts w:ascii="Times New Roman" w:hAnsi="Times New Roman" w:cs="Times New Roman"/>
          <w:color w:val="333333"/>
          <w:sz w:val="24"/>
          <w:szCs w:val="24"/>
          <w:shd w:val="clear" w:color="auto" w:fill="FFFFFF"/>
        </w:rPr>
      </w:pPr>
    </w:p>
    <w:p w14:paraId="3ABB2B66" w14:textId="3B77608B" w:rsidR="00CD18C2" w:rsidRDefault="00171F23"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D</w:t>
      </w:r>
      <w:r w:rsidR="0019505E" w:rsidRPr="0019505E">
        <w:rPr>
          <w:rFonts w:ascii="Times New Roman" w:eastAsia="Times New Roman" w:hAnsi="Times New Roman" w:cs="Times New Roman"/>
          <w:b/>
          <w:color w:val="222222"/>
          <w:sz w:val="24"/>
          <w:szCs w:val="24"/>
          <w:lang w:eastAsia="es-AR"/>
        </w:rPr>
        <w:t>.</w:t>
      </w:r>
      <w:r w:rsidR="0019505E">
        <w:rPr>
          <w:rFonts w:ascii="Times New Roman" w:eastAsia="Times New Roman" w:hAnsi="Times New Roman" w:cs="Times New Roman"/>
          <w:color w:val="222222"/>
          <w:sz w:val="24"/>
          <w:szCs w:val="24"/>
          <w:lang w:eastAsia="es-AR"/>
        </w:rPr>
        <w:tab/>
      </w:r>
      <w:r w:rsidR="0027568B">
        <w:rPr>
          <w:rFonts w:ascii="Times New Roman" w:eastAsia="Times New Roman" w:hAnsi="Times New Roman" w:cs="Times New Roman"/>
          <w:color w:val="222222"/>
          <w:sz w:val="24"/>
          <w:szCs w:val="24"/>
          <w:lang w:eastAsia="es-AR"/>
        </w:rPr>
        <w:t xml:space="preserve">Por todo lo dicho es que </w:t>
      </w:r>
      <w:r w:rsidR="0019505E">
        <w:rPr>
          <w:rFonts w:ascii="Times New Roman" w:eastAsia="Times New Roman" w:hAnsi="Times New Roman" w:cs="Times New Roman"/>
          <w:b/>
          <w:color w:val="222222"/>
          <w:sz w:val="24"/>
          <w:szCs w:val="24"/>
          <w:lang w:eastAsia="es-AR"/>
        </w:rPr>
        <w:t>EXIGIMOS</w:t>
      </w:r>
      <w:r w:rsidR="00CD18C2" w:rsidRPr="00CD18C2">
        <w:rPr>
          <w:rFonts w:ascii="Times New Roman" w:eastAsia="Times New Roman" w:hAnsi="Times New Roman" w:cs="Times New Roman"/>
          <w:color w:val="222222"/>
          <w:sz w:val="24"/>
          <w:szCs w:val="24"/>
          <w:lang w:eastAsia="es-AR"/>
        </w:rPr>
        <w:t>:</w:t>
      </w:r>
    </w:p>
    <w:p w14:paraId="397CAD5D" w14:textId="77777777" w:rsidR="007F4D1D" w:rsidRDefault="00CB54B0"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a)</w:t>
      </w:r>
      <w:r w:rsidR="007F4D1D">
        <w:rPr>
          <w:rFonts w:ascii="Times New Roman" w:eastAsia="Times New Roman" w:hAnsi="Times New Roman" w:cs="Times New Roman"/>
          <w:b/>
          <w:color w:val="222222"/>
          <w:sz w:val="24"/>
          <w:szCs w:val="24"/>
          <w:lang w:eastAsia="es-AR"/>
        </w:rPr>
        <w:tab/>
      </w:r>
      <w:r w:rsidR="007F4D1D">
        <w:rPr>
          <w:rFonts w:ascii="Times New Roman" w:eastAsia="Times New Roman" w:hAnsi="Times New Roman" w:cs="Times New Roman"/>
          <w:color w:val="222222"/>
          <w:sz w:val="24"/>
          <w:szCs w:val="24"/>
          <w:lang w:eastAsia="es-AR"/>
        </w:rPr>
        <w:t>Que la Ministra de Seguridad y a los Gobernadores de las Provincias se abstengan de promover la ilegalidad del uso de la fuerza pública;</w:t>
      </w:r>
    </w:p>
    <w:p w14:paraId="7F13A34C" w14:textId="77777777" w:rsidR="007F4D1D" w:rsidRDefault="00CB54B0"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b)</w:t>
      </w:r>
      <w:r w:rsidR="007F4D1D">
        <w:rPr>
          <w:rFonts w:ascii="Times New Roman" w:eastAsia="Times New Roman" w:hAnsi="Times New Roman" w:cs="Times New Roman"/>
          <w:b/>
          <w:color w:val="222222"/>
          <w:sz w:val="24"/>
          <w:szCs w:val="24"/>
          <w:lang w:eastAsia="es-AR"/>
        </w:rPr>
        <w:tab/>
      </w:r>
      <w:r w:rsidR="007F4D1D">
        <w:rPr>
          <w:rFonts w:ascii="Times New Roman" w:eastAsia="Times New Roman" w:hAnsi="Times New Roman" w:cs="Times New Roman"/>
          <w:color w:val="222222"/>
          <w:sz w:val="24"/>
          <w:szCs w:val="24"/>
          <w:lang w:eastAsia="es-AR"/>
        </w:rPr>
        <w:t>Que se investigue las ilegalidades denunciadas y se promuevan los procesos políticos, administrativos y judiciales correspondientes;</w:t>
      </w:r>
    </w:p>
    <w:p w14:paraId="2F6C84A2" w14:textId="77777777" w:rsidR="00CD18C2" w:rsidRDefault="00CB54B0" w:rsidP="00CD18C2">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c)</w:t>
      </w:r>
      <w:r w:rsidR="007F4D1D">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 xml:space="preserve">Que se derogue la Ley </w:t>
      </w:r>
      <w:r w:rsidR="00F509AC">
        <w:rPr>
          <w:rFonts w:ascii="Times New Roman" w:eastAsia="Times New Roman" w:hAnsi="Times New Roman" w:cs="Times New Roman"/>
          <w:color w:val="222222"/>
          <w:sz w:val="24"/>
          <w:szCs w:val="24"/>
          <w:lang w:eastAsia="es-AR"/>
        </w:rPr>
        <w:t>26.734 mal llamada ‘</w:t>
      </w:r>
      <w:r w:rsidR="00CD18C2" w:rsidRPr="00CD18C2">
        <w:rPr>
          <w:rFonts w:ascii="Times New Roman" w:eastAsia="Times New Roman" w:hAnsi="Times New Roman" w:cs="Times New Roman"/>
          <w:color w:val="222222"/>
          <w:sz w:val="24"/>
          <w:szCs w:val="24"/>
          <w:lang w:eastAsia="es-AR"/>
        </w:rPr>
        <w:t>Antiterrorista</w:t>
      </w:r>
      <w:r w:rsidR="00F509AC">
        <w:rPr>
          <w:rFonts w:ascii="Times New Roman" w:eastAsia="Times New Roman" w:hAnsi="Times New Roman" w:cs="Times New Roman"/>
          <w:color w:val="222222"/>
          <w:sz w:val="24"/>
          <w:szCs w:val="24"/>
          <w:lang w:eastAsia="es-AR"/>
        </w:rPr>
        <w:t>’</w:t>
      </w:r>
      <w:r w:rsidR="00CD18C2" w:rsidRPr="00CD18C2">
        <w:rPr>
          <w:rFonts w:ascii="Times New Roman" w:eastAsia="Times New Roman" w:hAnsi="Times New Roman" w:cs="Times New Roman"/>
          <w:color w:val="222222"/>
          <w:sz w:val="24"/>
          <w:szCs w:val="24"/>
          <w:lang w:eastAsia="es-AR"/>
        </w:rPr>
        <w:t xml:space="preserve"> que claramente atenta contra los derechos const</w:t>
      </w:r>
      <w:r w:rsidR="007F4D1D">
        <w:rPr>
          <w:rFonts w:ascii="Times New Roman" w:eastAsia="Times New Roman" w:hAnsi="Times New Roman" w:cs="Times New Roman"/>
          <w:color w:val="222222"/>
          <w:sz w:val="24"/>
          <w:szCs w:val="24"/>
          <w:lang w:eastAsia="es-AR"/>
        </w:rPr>
        <w:t>itucionales que aquí defendemos;</w:t>
      </w:r>
    </w:p>
    <w:p w14:paraId="502E1A6C" w14:textId="43C4ABFE" w:rsidR="003A5E77" w:rsidRPr="003A5E77" w:rsidRDefault="00CB54B0" w:rsidP="00111939">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b/>
          <w:color w:val="222222"/>
          <w:sz w:val="24"/>
          <w:szCs w:val="24"/>
          <w:lang w:eastAsia="es-AR"/>
        </w:rPr>
        <w:t>d)</w:t>
      </w:r>
      <w:r w:rsidR="007F4D1D">
        <w:rPr>
          <w:rFonts w:ascii="Times New Roman" w:eastAsia="Times New Roman" w:hAnsi="Times New Roman" w:cs="Times New Roman"/>
          <w:b/>
          <w:color w:val="222222"/>
          <w:sz w:val="24"/>
          <w:szCs w:val="24"/>
          <w:lang w:eastAsia="es-AR"/>
        </w:rPr>
        <w:tab/>
      </w:r>
      <w:r w:rsidR="00CD18C2" w:rsidRPr="00CD18C2">
        <w:rPr>
          <w:rFonts w:ascii="Times New Roman" w:eastAsia="Times New Roman" w:hAnsi="Times New Roman" w:cs="Times New Roman"/>
          <w:color w:val="222222"/>
          <w:sz w:val="24"/>
          <w:szCs w:val="24"/>
          <w:lang w:eastAsia="es-AR"/>
        </w:rPr>
        <w:t xml:space="preserve">Que se sancione una norma </w:t>
      </w:r>
      <w:r w:rsidR="00F509AC">
        <w:rPr>
          <w:rFonts w:ascii="Times New Roman" w:eastAsia="Times New Roman" w:hAnsi="Times New Roman" w:cs="Times New Roman"/>
          <w:color w:val="222222"/>
          <w:sz w:val="24"/>
          <w:szCs w:val="24"/>
          <w:lang w:eastAsia="es-AR"/>
        </w:rPr>
        <w:t xml:space="preserve">en la que de manera directa se </w:t>
      </w:r>
      <w:r w:rsidR="00CD18C2" w:rsidRPr="00CD18C2">
        <w:rPr>
          <w:rFonts w:ascii="Times New Roman" w:eastAsia="Times New Roman" w:hAnsi="Times New Roman" w:cs="Times New Roman"/>
          <w:color w:val="222222"/>
          <w:sz w:val="24"/>
          <w:szCs w:val="24"/>
          <w:lang w:eastAsia="es-AR"/>
        </w:rPr>
        <w:t>incluya a los funcionarios responsables de impartir órdenes que deriven en muerte y violaciones a derechos humanos durante manifestaciones, es decir mientras las y los ciudadanos ejercen el derecho constitucional a expresarse l</w:t>
      </w:r>
      <w:r w:rsidR="003A5E77">
        <w:rPr>
          <w:rFonts w:ascii="Times New Roman" w:eastAsia="Times New Roman" w:hAnsi="Times New Roman" w:cs="Times New Roman"/>
          <w:color w:val="222222"/>
          <w:sz w:val="24"/>
          <w:szCs w:val="24"/>
          <w:lang w:eastAsia="es-AR"/>
        </w:rPr>
        <w:t>ibremente en el espacio público</w:t>
      </w:r>
      <w:r w:rsidR="00111939">
        <w:rPr>
          <w:rFonts w:ascii="Times New Roman" w:eastAsia="Times New Roman" w:hAnsi="Times New Roman" w:cs="Times New Roman"/>
          <w:color w:val="222222"/>
          <w:sz w:val="24"/>
          <w:szCs w:val="24"/>
          <w:lang w:eastAsia="es-AR"/>
        </w:rPr>
        <w:t xml:space="preserve">. </w:t>
      </w:r>
    </w:p>
    <w:p w14:paraId="13B86FB0" w14:textId="77777777" w:rsidR="00CD18C2" w:rsidRPr="00CD18C2" w:rsidRDefault="00983A89" w:rsidP="00983A89">
      <w:pPr>
        <w:shd w:val="clear" w:color="auto" w:fill="FFFFFF"/>
        <w:spacing w:after="0" w:line="360" w:lineRule="auto"/>
        <w:jc w:val="both"/>
        <w:rPr>
          <w:rFonts w:ascii="Times New Roman" w:hAnsi="Times New Roman" w:cs="Times New Roman"/>
          <w:sz w:val="24"/>
          <w:szCs w:val="24"/>
        </w:rPr>
      </w:pPr>
      <w:r w:rsidRPr="00CD18C2">
        <w:rPr>
          <w:rFonts w:ascii="Times New Roman" w:hAnsi="Times New Roman" w:cs="Times New Roman"/>
          <w:sz w:val="24"/>
          <w:szCs w:val="24"/>
        </w:rPr>
        <w:t xml:space="preserve"> </w:t>
      </w:r>
      <w:bookmarkStart w:id="0" w:name="_GoBack"/>
      <w:bookmarkEnd w:id="0"/>
    </w:p>
    <w:p w14:paraId="25A16D3C" w14:textId="77777777" w:rsidR="00EB16B9" w:rsidRDefault="00CB54B0" w:rsidP="00CD18C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Buenos Aires, 17-03-2016</w:t>
      </w:r>
    </w:p>
    <w:p w14:paraId="3CE85669" w14:textId="77777777" w:rsidR="00CB54B0" w:rsidRPr="00CD18C2" w:rsidRDefault="00CB54B0" w:rsidP="00CD18C2">
      <w:pPr>
        <w:spacing w:line="360" w:lineRule="auto"/>
        <w:jc w:val="both"/>
        <w:rPr>
          <w:rFonts w:ascii="Times New Roman" w:hAnsi="Times New Roman" w:cs="Times New Roman"/>
          <w:sz w:val="24"/>
          <w:szCs w:val="24"/>
        </w:rPr>
      </w:pPr>
    </w:p>
    <w:p w14:paraId="3847DC27" w14:textId="77777777" w:rsidR="00DE5A71" w:rsidRPr="00CD18C2" w:rsidRDefault="00DE5A71" w:rsidP="00CD18C2">
      <w:pPr>
        <w:spacing w:line="360" w:lineRule="auto"/>
        <w:jc w:val="both"/>
        <w:rPr>
          <w:rFonts w:ascii="Times New Roman" w:hAnsi="Times New Roman" w:cs="Times New Roman"/>
          <w:sz w:val="24"/>
          <w:szCs w:val="24"/>
        </w:rPr>
      </w:pPr>
    </w:p>
    <w:p w14:paraId="37D58E1F" w14:textId="77777777" w:rsidR="00DE5A71" w:rsidRPr="00CD18C2" w:rsidRDefault="00DE5A71" w:rsidP="00CD18C2">
      <w:pPr>
        <w:spacing w:line="360" w:lineRule="auto"/>
        <w:jc w:val="both"/>
        <w:rPr>
          <w:rFonts w:ascii="Times New Roman" w:hAnsi="Times New Roman" w:cs="Times New Roman"/>
          <w:sz w:val="24"/>
          <w:szCs w:val="24"/>
        </w:rPr>
      </w:pPr>
    </w:p>
    <w:sectPr w:rsidR="00DE5A71" w:rsidRPr="00CD18C2" w:rsidSect="00CD18C2">
      <w:footerReference w:type="default" r:id="rId7"/>
      <w:pgSz w:w="11907" w:h="16840"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4CB0" w14:textId="77777777" w:rsidR="0084096E" w:rsidRDefault="0084096E" w:rsidP="009B555D">
      <w:pPr>
        <w:spacing w:after="0" w:line="240" w:lineRule="auto"/>
      </w:pPr>
      <w:r>
        <w:separator/>
      </w:r>
    </w:p>
  </w:endnote>
  <w:endnote w:type="continuationSeparator" w:id="0">
    <w:p w14:paraId="043D8DE0" w14:textId="77777777" w:rsidR="0084096E" w:rsidRDefault="0084096E" w:rsidP="009B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64374"/>
      <w:docPartObj>
        <w:docPartGallery w:val="Page Numbers (Bottom of Page)"/>
        <w:docPartUnique/>
      </w:docPartObj>
    </w:sdtPr>
    <w:sdtContent>
      <w:p w14:paraId="52CE56DD" w14:textId="77777777" w:rsidR="0084096E" w:rsidRDefault="0084096E">
        <w:pPr>
          <w:pStyle w:val="Piedepgina"/>
          <w:jc w:val="center"/>
        </w:pPr>
        <w:r>
          <w:fldChar w:fldCharType="begin"/>
        </w:r>
        <w:r>
          <w:instrText>PAGE   \* MERGEFORMAT</w:instrText>
        </w:r>
        <w:r>
          <w:fldChar w:fldCharType="separate"/>
        </w:r>
        <w:r w:rsidR="005A66A5" w:rsidRPr="005A66A5">
          <w:rPr>
            <w:noProof/>
            <w:lang w:val="es-ES"/>
          </w:rPr>
          <w:t>12</w:t>
        </w:r>
        <w:r>
          <w:fldChar w:fldCharType="end"/>
        </w:r>
      </w:p>
    </w:sdtContent>
  </w:sdt>
  <w:p w14:paraId="50E74A5B" w14:textId="77777777" w:rsidR="0084096E" w:rsidRDefault="0084096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1FD1" w14:textId="77777777" w:rsidR="0084096E" w:rsidRDefault="0084096E" w:rsidP="009B555D">
      <w:pPr>
        <w:spacing w:after="0" w:line="240" w:lineRule="auto"/>
      </w:pPr>
      <w:r>
        <w:separator/>
      </w:r>
    </w:p>
  </w:footnote>
  <w:footnote w:type="continuationSeparator" w:id="0">
    <w:p w14:paraId="693E76A7" w14:textId="77777777" w:rsidR="0084096E" w:rsidRDefault="0084096E" w:rsidP="009B555D">
      <w:pPr>
        <w:spacing w:after="0" w:line="240" w:lineRule="auto"/>
      </w:pPr>
      <w:r>
        <w:continuationSeparator/>
      </w:r>
    </w:p>
  </w:footnote>
  <w:footnote w:id="1">
    <w:p w14:paraId="23D6E0F9"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hyperlink r:id="rId1" w:history="1">
        <w:r w:rsidRPr="00040D34">
          <w:rPr>
            <w:rStyle w:val="Hipervnculo"/>
            <w:rFonts w:ascii="Times New Roman" w:hAnsi="Times New Roman"/>
            <w:b w:val="0"/>
            <w:sz w:val="20"/>
          </w:rPr>
          <w:t>http://www.oas.org/es/cidh/expresion/informes/tematicos.asp</w:t>
        </w:r>
      </w:hyperlink>
    </w:p>
  </w:footnote>
  <w:footnote w:id="2">
    <w:p w14:paraId="05818475"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Adoptada </w:t>
      </w:r>
      <w:proofErr w:type="spellStart"/>
      <w:r>
        <w:rPr>
          <w:rFonts w:ascii="Times New Roman" w:hAnsi="Times New Roman"/>
          <w:b w:val="0"/>
          <w:sz w:val="20"/>
          <w:lang w:val="pt-BR"/>
        </w:rPr>
        <w:t>en</w:t>
      </w:r>
      <w:proofErr w:type="spellEnd"/>
      <w:r>
        <w:rPr>
          <w:rFonts w:ascii="Times New Roman" w:hAnsi="Times New Roman"/>
          <w:b w:val="0"/>
          <w:sz w:val="20"/>
          <w:lang w:val="pt-BR"/>
        </w:rPr>
        <w:t xml:space="preserve"> </w:t>
      </w:r>
      <w:proofErr w:type="spellStart"/>
      <w:r>
        <w:rPr>
          <w:rFonts w:ascii="Times New Roman" w:hAnsi="Times New Roman"/>
          <w:b w:val="0"/>
          <w:sz w:val="20"/>
          <w:lang w:val="pt-BR"/>
        </w:rPr>
        <w:t>el</w:t>
      </w:r>
      <w:proofErr w:type="spellEnd"/>
      <w:r>
        <w:rPr>
          <w:rFonts w:ascii="Times New Roman" w:hAnsi="Times New Roman"/>
          <w:b w:val="0"/>
          <w:sz w:val="20"/>
          <w:lang w:val="pt-BR"/>
        </w:rPr>
        <w:t xml:space="preserve"> </w:t>
      </w:r>
      <w:r w:rsidRPr="00040D34">
        <w:rPr>
          <w:rFonts w:ascii="Times New Roman" w:hAnsi="Times New Roman"/>
          <w:b w:val="0"/>
          <w:sz w:val="20"/>
          <w:lang w:val="es-AR"/>
        </w:rPr>
        <w:t>VIGÉSIMO OCTAVO PERÍODO EXTRAORDINARIO DE SESIONES 11 de septiembre de 2001 </w:t>
      </w:r>
      <w:r w:rsidRPr="00040D34">
        <w:rPr>
          <w:rFonts w:ascii="Times New Roman" w:hAnsi="Times New Roman"/>
          <w:b w:val="0"/>
          <w:sz w:val="20"/>
          <w:lang w:val="es-AR"/>
        </w:rPr>
        <w:br/>
        <w:t>Lima, Perú -</w:t>
      </w:r>
      <w:r>
        <w:rPr>
          <w:rFonts w:ascii="Times New Roman" w:hAnsi="Times New Roman"/>
          <w:b w:val="0"/>
          <w:sz w:val="20"/>
          <w:lang w:val="es-AR"/>
        </w:rPr>
        <w:t xml:space="preserve"> </w:t>
      </w:r>
      <w:r w:rsidRPr="00040D34">
        <w:rPr>
          <w:rFonts w:ascii="Times New Roman" w:hAnsi="Times New Roman"/>
          <w:b w:val="0"/>
          <w:sz w:val="20"/>
          <w:lang w:val="es-AR"/>
        </w:rPr>
        <w:t xml:space="preserve"> </w:t>
      </w:r>
      <w:hyperlink r:id="rId2" w:history="1">
        <w:r w:rsidRPr="00040D34">
          <w:rPr>
            <w:rStyle w:val="Hipervnculo"/>
            <w:rFonts w:ascii="Times New Roman" w:hAnsi="Times New Roman"/>
            <w:b w:val="0"/>
            <w:sz w:val="20"/>
            <w:lang w:val="es-AR"/>
          </w:rPr>
          <w:t>http://www.oas.org/charter/docs_es/resolucion1_es.htm</w:t>
        </w:r>
      </w:hyperlink>
    </w:p>
  </w:footnote>
  <w:footnote w:id="3">
    <w:p w14:paraId="54C3215E" w14:textId="77777777" w:rsidR="0084096E" w:rsidRPr="00040D34" w:rsidRDefault="0084096E" w:rsidP="00B562D0">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ES"/>
        </w:rPr>
        <w:t xml:space="preserve">Bruce </w:t>
      </w:r>
      <w:proofErr w:type="spellStart"/>
      <w:r w:rsidRPr="00040D34">
        <w:rPr>
          <w:rFonts w:ascii="Times New Roman" w:hAnsi="Times New Roman"/>
          <w:b w:val="0"/>
          <w:sz w:val="20"/>
          <w:lang w:val="es-ES"/>
        </w:rPr>
        <w:t>Ackerman</w:t>
      </w:r>
      <w:proofErr w:type="spellEnd"/>
      <w:r w:rsidRPr="00040D34">
        <w:rPr>
          <w:rFonts w:ascii="Times New Roman" w:hAnsi="Times New Roman"/>
          <w:b w:val="0"/>
          <w:sz w:val="20"/>
          <w:lang w:val="es-ES"/>
        </w:rPr>
        <w:t xml:space="preserve"> y Carlos </w:t>
      </w:r>
      <w:proofErr w:type="spellStart"/>
      <w:r w:rsidRPr="00040D34">
        <w:rPr>
          <w:rFonts w:ascii="Times New Roman" w:hAnsi="Times New Roman"/>
          <w:b w:val="0"/>
          <w:sz w:val="20"/>
          <w:lang w:val="es-ES"/>
        </w:rPr>
        <w:t>Rosenckrantz</w:t>
      </w:r>
      <w:proofErr w:type="spellEnd"/>
      <w:r w:rsidRPr="00040D34">
        <w:rPr>
          <w:rFonts w:ascii="Times New Roman" w:hAnsi="Times New Roman"/>
          <w:b w:val="0"/>
          <w:sz w:val="20"/>
          <w:lang w:val="es-ES"/>
        </w:rPr>
        <w:t>, “Tres concepciones de democracia constitucional”, Centro de Estudios Institucionales</w:t>
      </w:r>
    </w:p>
  </w:footnote>
  <w:footnote w:id="4">
    <w:p w14:paraId="5CE3FB13" w14:textId="77777777" w:rsidR="0084096E" w:rsidRPr="00040D34" w:rsidRDefault="0084096E" w:rsidP="00040D34">
      <w:pPr>
        <w:pStyle w:val="Textonotapie"/>
        <w:spacing w:after="120" w:line="276" w:lineRule="auto"/>
        <w:ind w:firstLine="720"/>
        <w:jc w:val="both"/>
        <w:rPr>
          <w:rFonts w:ascii="Times New Roman" w:hAnsi="Times New Roman"/>
          <w:b w:val="0"/>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i/>
          <w:sz w:val="20"/>
          <w:lang w:val="es-ES"/>
        </w:rPr>
        <w:t xml:space="preserve">Ídem </w:t>
      </w:r>
      <w:r w:rsidRPr="00040D34">
        <w:rPr>
          <w:rFonts w:ascii="Times New Roman" w:hAnsi="Times New Roman"/>
          <w:b w:val="0"/>
          <w:sz w:val="20"/>
          <w:lang w:val="es-ES"/>
        </w:rPr>
        <w:t>p. 21</w:t>
      </w:r>
    </w:p>
  </w:footnote>
  <w:footnote w:id="5">
    <w:p w14:paraId="3123DF45"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hyperlink r:id="rId3" w:history="1">
        <w:r w:rsidRPr="00040D34">
          <w:rPr>
            <w:rStyle w:val="Hipervnculo"/>
            <w:rFonts w:ascii="Times New Roman" w:hAnsi="Times New Roman"/>
            <w:b w:val="0"/>
            <w:sz w:val="20"/>
            <w:lang w:val="es-AR"/>
          </w:rPr>
          <w:t>http://www.minseg.gob.ar/pdf/protocolo-final.pdf</w:t>
        </w:r>
      </w:hyperlink>
    </w:p>
  </w:footnote>
  <w:footnote w:id="6">
    <w:p w14:paraId="48392BF6"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hyperlink r:id="rId4" w:history="1">
        <w:r w:rsidRPr="00040D34">
          <w:rPr>
            <w:rStyle w:val="Hipervnculo"/>
            <w:rFonts w:ascii="Times New Roman" w:hAnsi="Times New Roman"/>
            <w:b w:val="0"/>
            <w:sz w:val="20"/>
          </w:rPr>
          <w:t>http://www.oas.org/es/cidh/expresion/docs/informes/anuales/monitoreo/CapII_2014_es.pdf</w:t>
        </w:r>
      </w:hyperlink>
    </w:p>
  </w:footnote>
  <w:footnote w:id="7">
    <w:p w14:paraId="54586AA9"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CIDH. Informe Anual 2009. Informe de la Relatoría Especial para la Libertad de Expresión. Capítulo III (Marco Jurídico Interamericano del Derecho a la Libertad de Expresión). OEA/Ser.L/V/II. Doc. 51. 30 de diciembre de 2009. Párr. 69.</w:t>
      </w:r>
      <w:r w:rsidRPr="00040D34">
        <w:rPr>
          <w:rFonts w:ascii="Times New Roman" w:hAnsi="Times New Roman"/>
          <w:sz w:val="20"/>
          <w:lang w:val="es-AR"/>
        </w:rPr>
        <w:t xml:space="preserve"> </w:t>
      </w:r>
    </w:p>
  </w:footnote>
  <w:footnote w:id="8">
    <w:p w14:paraId="5F00BD9E"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Corte I.D.H., Caso Usón Ramírez Vs Venezuela. Excepción Preliminar, Fondo, Reparaciones y Costas. Sentencia de 20 de noviembre de 2009. Serie C No. 207, párr. 55.</w:t>
      </w:r>
      <w:r w:rsidRPr="00040D34">
        <w:rPr>
          <w:rFonts w:ascii="Times New Roman" w:hAnsi="Times New Roman"/>
          <w:sz w:val="20"/>
          <w:lang w:val="es-AR"/>
        </w:rPr>
        <w:t xml:space="preserve"> </w:t>
      </w:r>
    </w:p>
  </w:footnote>
  <w:footnote w:id="9">
    <w:p w14:paraId="3A7749A4"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Corte I.D.H., Caso Usón Ramírez Vs Venezuela. Excepción Preliminar, Fondo, Reparaciones y Costas. Sentencia de 20 de noviembre de 2009. Serie C No. 207, párr. 55.</w:t>
      </w:r>
      <w:r w:rsidRPr="00040D34">
        <w:rPr>
          <w:rFonts w:ascii="Times New Roman" w:hAnsi="Times New Roman"/>
          <w:sz w:val="20"/>
          <w:lang w:val="es-AR"/>
        </w:rPr>
        <w:t xml:space="preserve"> </w:t>
      </w:r>
    </w:p>
  </w:footnote>
  <w:footnote w:id="10">
    <w:p w14:paraId="0D50D9FE"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Corte I.D.H., Caso Usón Ramírez Vs Venezuela. Excepción Preliminar, Fondo, Reparaciones y Costas. Sentencia de 20 de noviembre de 2009. Serie C No. 207, párr. 55.</w:t>
      </w:r>
      <w:r w:rsidRPr="00040D34">
        <w:rPr>
          <w:rFonts w:ascii="Times New Roman" w:hAnsi="Times New Roman"/>
          <w:sz w:val="20"/>
          <w:lang w:val="es-AR"/>
        </w:rPr>
        <w:t xml:space="preserve"> </w:t>
      </w:r>
    </w:p>
  </w:footnote>
  <w:footnote w:id="11">
    <w:p w14:paraId="71C7AEB3"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hyperlink r:id="rId5" w:history="1">
        <w:r w:rsidRPr="00040D34">
          <w:rPr>
            <w:rStyle w:val="Hipervnculo"/>
            <w:rFonts w:ascii="Times New Roman" w:hAnsi="Times New Roman"/>
            <w:b w:val="0"/>
            <w:sz w:val="20"/>
          </w:rPr>
          <w:t>http://www.oas.org/es/cidh/expresion/showarticle.asp?artID=931&amp;lID=2</w:t>
        </w:r>
      </w:hyperlink>
      <w:r w:rsidRPr="00040D34">
        <w:rPr>
          <w:rFonts w:ascii="Times New Roman" w:hAnsi="Times New Roman"/>
          <w:sz w:val="20"/>
          <w:lang w:val="es-AR"/>
        </w:rPr>
        <w:t xml:space="preserve"> </w:t>
      </w:r>
    </w:p>
  </w:footnote>
  <w:footnote w:id="12">
    <w:p w14:paraId="14860988"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bCs/>
          <w:sz w:val="20"/>
          <w:lang w:val="es-AR"/>
        </w:rPr>
        <w:t>Corte IDH. Caso Manuel Cepeda Vargas Vs. Colombia. Excepciones Preliminares, Fondo, Reparaciones y Costas. Sentencia de 26 de mayo de 2010. Serie C No. 213.</w:t>
      </w:r>
      <w:r w:rsidRPr="00040D34">
        <w:rPr>
          <w:rFonts w:ascii="Times New Roman" w:hAnsi="Times New Roman"/>
          <w:sz w:val="20"/>
          <w:lang w:val="es-AR"/>
        </w:rPr>
        <w:t xml:space="preserve"> </w:t>
      </w:r>
    </w:p>
  </w:footnote>
  <w:footnote w:id="13">
    <w:p w14:paraId="75286DA9"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Cfr. Caso Castañeda Gutman Vs. México, supra nota 28, párr. 140. En similar sentido, la Corte Constitucional de Colombia, “en el constitucionalismo y en la doctrina de los derechos humanos, las libertades de expresión, reunión y asociación forman una trilogía de libertades personales que se constituye además, en prerrequisito de los derechos de participación política”. Sentencia C-265 de la Corte Constitucional, M.P. Alejandro Martínez Caballero de 2 de junio de 1994 (expediente de prueba, tomo XXII, anexo 9 a los alegatos finales de los representantes, folio 9145).</w:t>
      </w:r>
    </w:p>
  </w:footnote>
  <w:footnote w:id="14">
    <w:p w14:paraId="2B03E2A2"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Cfr. Caso Perozo y otros Vs. Venezuela, supra nota 49, párr. 118, y Caso Ríos y otros Vs. Venezuela, supra nota 49, párr. 107. Además, inter alia, Condición Jurídica y Derechos de los Migrantes Indocumentados. Opinión Consultiva OC-18/03. Serie A No. 18, párrs. 112 a 172 y Caso de la “Masacre de Mapiripán” Vs. Colombia. Fondo, Reparaciones y Costas, supra nota 22, párrs. 173 a 189.</w:t>
      </w:r>
      <w:r w:rsidRPr="00040D34">
        <w:rPr>
          <w:rFonts w:ascii="Times New Roman" w:hAnsi="Times New Roman"/>
          <w:sz w:val="20"/>
          <w:lang w:val="es-AR"/>
        </w:rPr>
        <w:t xml:space="preserve"> </w:t>
      </w:r>
    </w:p>
  </w:footnote>
  <w:footnote w:id="15">
    <w:p w14:paraId="4F1A2C9A"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Cfr. Caso Ríos y otros Vs. Venezuela, supra nota 49, párr. 107 y Caso Perozo y otros Vs. Venezuela, supra nota 49, párr. 118.</w:t>
      </w:r>
      <w:r w:rsidRPr="00040D34">
        <w:rPr>
          <w:rFonts w:ascii="Times New Roman" w:hAnsi="Times New Roman"/>
          <w:sz w:val="20"/>
          <w:lang w:val="es-AR"/>
        </w:rPr>
        <w:t xml:space="preserve"> </w:t>
      </w:r>
    </w:p>
  </w:footnote>
  <w:footnote w:id="16">
    <w:p w14:paraId="3A2E0249"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Cfr. Caso Caso Ríos y otros Vs. Venezuela, supra nota 49, párr. 105 y Caso Perozo y otros Vs. Venezuela, supra nota 49, párr. 116.</w:t>
      </w:r>
      <w:r w:rsidRPr="00040D34">
        <w:rPr>
          <w:rFonts w:ascii="Times New Roman" w:hAnsi="Times New Roman"/>
          <w:sz w:val="20"/>
          <w:lang w:val="es-AR"/>
        </w:rPr>
        <w:t xml:space="preserve"> </w:t>
      </w:r>
    </w:p>
  </w:footnote>
  <w:footnote w:id="17">
    <w:p w14:paraId="121A8B68"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n-US"/>
        </w:rPr>
        <w:t xml:space="preserve">En el </w:t>
      </w:r>
      <w:proofErr w:type="spellStart"/>
      <w:r w:rsidRPr="00040D34">
        <w:rPr>
          <w:rFonts w:ascii="Times New Roman" w:hAnsi="Times New Roman"/>
          <w:b w:val="0"/>
          <w:sz w:val="20"/>
          <w:lang w:val="en-US"/>
        </w:rPr>
        <w:t>mismo</w:t>
      </w:r>
      <w:proofErr w:type="spellEnd"/>
      <w:r w:rsidRPr="00040D34">
        <w:rPr>
          <w:rFonts w:ascii="Times New Roman" w:hAnsi="Times New Roman"/>
          <w:b w:val="0"/>
          <w:sz w:val="20"/>
          <w:lang w:val="en-US"/>
        </w:rPr>
        <w:t xml:space="preserve"> </w:t>
      </w:r>
      <w:proofErr w:type="spellStart"/>
      <w:r w:rsidRPr="00040D34">
        <w:rPr>
          <w:rFonts w:ascii="Times New Roman" w:hAnsi="Times New Roman"/>
          <w:b w:val="0"/>
          <w:sz w:val="20"/>
          <w:lang w:val="en-US"/>
        </w:rPr>
        <w:t>sentido</w:t>
      </w:r>
      <w:proofErr w:type="spellEnd"/>
      <w:r w:rsidRPr="00040D34">
        <w:rPr>
          <w:rFonts w:ascii="Times New Roman" w:hAnsi="Times New Roman"/>
          <w:b w:val="0"/>
          <w:sz w:val="20"/>
          <w:lang w:val="en-US"/>
        </w:rPr>
        <w:t xml:space="preserve">, la Corte </w:t>
      </w:r>
      <w:proofErr w:type="spellStart"/>
      <w:r w:rsidRPr="00040D34">
        <w:rPr>
          <w:rFonts w:ascii="Times New Roman" w:hAnsi="Times New Roman"/>
          <w:b w:val="0"/>
          <w:sz w:val="20"/>
          <w:lang w:val="en-US"/>
        </w:rPr>
        <w:t>Europea</w:t>
      </w:r>
      <w:proofErr w:type="spellEnd"/>
      <w:r w:rsidRPr="00040D34">
        <w:rPr>
          <w:rFonts w:ascii="Times New Roman" w:hAnsi="Times New Roman"/>
          <w:b w:val="0"/>
          <w:sz w:val="20"/>
          <w:lang w:val="en-US"/>
        </w:rPr>
        <w:t xml:space="preserve"> de Derechos </w:t>
      </w:r>
      <w:proofErr w:type="spellStart"/>
      <w:r w:rsidRPr="00040D34">
        <w:rPr>
          <w:rFonts w:ascii="Times New Roman" w:hAnsi="Times New Roman"/>
          <w:b w:val="0"/>
          <w:sz w:val="20"/>
          <w:lang w:val="en-US"/>
        </w:rPr>
        <w:t>Humanos</w:t>
      </w:r>
      <w:proofErr w:type="spellEnd"/>
      <w:r w:rsidRPr="00040D34">
        <w:rPr>
          <w:rFonts w:ascii="Times New Roman" w:hAnsi="Times New Roman"/>
          <w:b w:val="0"/>
          <w:sz w:val="20"/>
          <w:lang w:val="en-US"/>
        </w:rPr>
        <w:t xml:space="preserve"> ha </w:t>
      </w:r>
      <w:proofErr w:type="spellStart"/>
      <w:r w:rsidRPr="00040D34">
        <w:rPr>
          <w:rFonts w:ascii="Times New Roman" w:hAnsi="Times New Roman"/>
          <w:b w:val="0"/>
          <w:sz w:val="20"/>
          <w:lang w:val="en-US"/>
        </w:rPr>
        <w:t>señalado</w:t>
      </w:r>
      <w:proofErr w:type="spellEnd"/>
      <w:r w:rsidRPr="00040D34">
        <w:rPr>
          <w:rFonts w:ascii="Times New Roman" w:hAnsi="Times New Roman"/>
          <w:b w:val="0"/>
          <w:sz w:val="20"/>
          <w:lang w:val="en-US"/>
        </w:rPr>
        <w:t xml:space="preserve"> que: “[T]he fact that […] a political project is considered incompatible with the current principles and structures of [a] State does not mean that it infringes democratic rules. It is of the essence of democracy to allow diverse political projects to be proposed and debated, even those that call into question the way a State is currently organized, provided that they do not harm democracy itself”. </w:t>
      </w:r>
      <w:proofErr w:type="gramStart"/>
      <w:r w:rsidRPr="00040D34">
        <w:rPr>
          <w:rFonts w:ascii="Times New Roman" w:hAnsi="Times New Roman"/>
          <w:b w:val="0"/>
          <w:sz w:val="20"/>
          <w:lang w:val="en-US"/>
        </w:rPr>
        <w:t xml:space="preserve">Case of Freedom And Democracy Party (ÖZDEP) v. Turkey (Application no. 23885/94) 8 December 1999, </w:t>
      </w:r>
      <w:proofErr w:type="spellStart"/>
      <w:r w:rsidRPr="00040D34">
        <w:rPr>
          <w:rFonts w:ascii="Times New Roman" w:hAnsi="Times New Roman"/>
          <w:b w:val="0"/>
          <w:sz w:val="20"/>
          <w:lang w:val="en-US"/>
        </w:rPr>
        <w:t>párr</w:t>
      </w:r>
      <w:proofErr w:type="spellEnd"/>
      <w:r w:rsidRPr="00040D34">
        <w:rPr>
          <w:rFonts w:ascii="Times New Roman" w:hAnsi="Times New Roman"/>
          <w:b w:val="0"/>
          <w:sz w:val="20"/>
          <w:lang w:val="en-US"/>
        </w:rPr>
        <w:t>.</w:t>
      </w:r>
      <w:proofErr w:type="gramEnd"/>
      <w:r w:rsidRPr="00040D34">
        <w:rPr>
          <w:rFonts w:ascii="Times New Roman" w:hAnsi="Times New Roman"/>
          <w:b w:val="0"/>
          <w:sz w:val="20"/>
          <w:lang w:val="en-US"/>
        </w:rPr>
        <w:t xml:space="preserve"> </w:t>
      </w:r>
      <w:proofErr w:type="gramStart"/>
      <w:r w:rsidRPr="00040D34">
        <w:rPr>
          <w:rFonts w:ascii="Times New Roman" w:hAnsi="Times New Roman"/>
          <w:b w:val="0"/>
          <w:sz w:val="20"/>
          <w:lang w:val="en-US"/>
        </w:rPr>
        <w:t xml:space="preserve">41; Case of Socialist Party and others v. Turkey (20/1997/804/1007) 25 May 1998, </w:t>
      </w:r>
      <w:proofErr w:type="spellStart"/>
      <w:r w:rsidRPr="00040D34">
        <w:rPr>
          <w:rFonts w:ascii="Times New Roman" w:hAnsi="Times New Roman"/>
          <w:b w:val="0"/>
          <w:sz w:val="20"/>
          <w:lang w:val="en-US"/>
        </w:rPr>
        <w:t>párr</w:t>
      </w:r>
      <w:proofErr w:type="spellEnd"/>
      <w:r w:rsidRPr="00040D34">
        <w:rPr>
          <w:rFonts w:ascii="Times New Roman" w:hAnsi="Times New Roman"/>
          <w:b w:val="0"/>
          <w:sz w:val="20"/>
          <w:lang w:val="en-US"/>
        </w:rPr>
        <w:t>.</w:t>
      </w:r>
      <w:proofErr w:type="gramEnd"/>
      <w:r w:rsidRPr="00040D34">
        <w:rPr>
          <w:rFonts w:ascii="Times New Roman" w:hAnsi="Times New Roman"/>
          <w:b w:val="0"/>
          <w:sz w:val="20"/>
          <w:lang w:val="en-US"/>
        </w:rPr>
        <w:t xml:space="preserve"> </w:t>
      </w:r>
      <w:r w:rsidRPr="00040D34">
        <w:rPr>
          <w:rFonts w:ascii="Times New Roman" w:hAnsi="Times New Roman"/>
          <w:b w:val="0"/>
          <w:sz w:val="20"/>
          <w:lang w:val="es-AR"/>
        </w:rPr>
        <w:t>47.</w:t>
      </w:r>
    </w:p>
  </w:footnote>
  <w:footnote w:id="18">
    <w:p w14:paraId="1F62C2F0" w14:textId="77777777" w:rsidR="0084096E" w:rsidRPr="00040D34"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sz w:val="20"/>
          <w:lang w:val="es-AR"/>
        </w:rPr>
        <w:t>En similar sentido, cfr. Caso Yatama Vs. Nicaragua, supra nota 65, párr. 201; Condición Jurídica y Derechos de los Migrantes Indocumentados. Opinión Consultiva OC-18/03, supra nota 249, párr. 89, y Condición Jurídica y Derechos Humanos del Niño. Opinión Consultiva OC-17/02 de 28 de agosto de 2002. Serie A No. 17, párr. 46.</w:t>
      </w:r>
    </w:p>
  </w:footnote>
  <w:footnote w:id="19">
    <w:p w14:paraId="2ADD46D5" w14:textId="77777777" w:rsidR="0084096E" w:rsidRPr="00CB10CC" w:rsidRDefault="0084096E" w:rsidP="00040D34">
      <w:pPr>
        <w:pStyle w:val="Textonotapie"/>
        <w:spacing w:after="120" w:line="276" w:lineRule="auto"/>
        <w:ind w:firstLine="720"/>
        <w:jc w:val="both"/>
        <w:rPr>
          <w:rFonts w:ascii="Times New Roman" w:hAnsi="Times New Roman"/>
          <w:sz w:val="20"/>
          <w:lang w:val="es-AR"/>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040D34">
        <w:rPr>
          <w:rFonts w:ascii="Times New Roman" w:hAnsi="Times New Roman"/>
          <w:b w:val="0"/>
          <w:bCs/>
          <w:sz w:val="20"/>
        </w:rPr>
        <w:t xml:space="preserve">INFORME ANUAL 2005 - CAPITULO V </w:t>
      </w:r>
      <w:r w:rsidRPr="00040D34">
        <w:rPr>
          <w:rFonts w:ascii="Times New Roman" w:hAnsi="Times New Roman"/>
          <w:bCs/>
          <w:sz w:val="20"/>
        </w:rPr>
        <w:t xml:space="preserve">- </w:t>
      </w:r>
      <w:r w:rsidRPr="00040D34">
        <w:rPr>
          <w:rFonts w:ascii="Times New Roman" w:hAnsi="Times New Roman"/>
          <w:b w:val="0"/>
          <w:bCs/>
          <w:sz w:val="20"/>
          <w:lang w:val="es-AR"/>
        </w:rPr>
        <w:t>LAS MANIFESTACIONES PÚBLICAS COMO EJERCICIO DE LA LIBERTAD DE EXPRESIÓN Y LA LIBERTAD DE REUNIÓN</w:t>
      </w:r>
      <w:r w:rsidRPr="00040D34">
        <w:rPr>
          <w:rFonts w:ascii="Times New Roman" w:hAnsi="Times New Roman"/>
          <w:sz w:val="20"/>
          <w:lang w:val="es-AR"/>
        </w:rPr>
        <w:t xml:space="preserve"> - </w:t>
      </w:r>
      <w:hyperlink r:id="rId6" w:history="1">
        <w:r w:rsidRPr="00040D34">
          <w:rPr>
            <w:rStyle w:val="Hipervnculo"/>
            <w:rFonts w:ascii="Times New Roman" w:hAnsi="Times New Roman"/>
            <w:b w:val="0"/>
            <w:sz w:val="20"/>
          </w:rPr>
          <w:t>http://www.oas.org/es/cidh/expresion/informes/tematicos.asp</w:t>
        </w:r>
      </w:hyperlink>
    </w:p>
  </w:footnote>
  <w:footnote w:id="20">
    <w:p w14:paraId="5D7D766D" w14:textId="7F4D3BC4" w:rsidR="0084096E" w:rsidRPr="005246D6" w:rsidRDefault="0084096E" w:rsidP="005246D6">
      <w:pPr>
        <w:pStyle w:val="Textonotapie"/>
        <w:spacing w:after="120"/>
        <w:ind w:firstLine="720"/>
        <w:jc w:val="both"/>
        <w:rPr>
          <w:rFonts w:ascii="Times New Roman" w:hAnsi="Times New Roman"/>
          <w:bCs/>
          <w:sz w:val="20"/>
          <w:lang w:val="es-ES_tradnl"/>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84096E">
        <w:rPr>
          <w:rFonts w:ascii="Times New Roman" w:hAnsi="Times New Roman"/>
          <w:b w:val="0"/>
          <w:bCs/>
          <w:sz w:val="20"/>
          <w:lang w:val="es-ES_tradnl"/>
        </w:rPr>
        <w:t>Principio 2 de la Declaración de principios de la CIDH: “[t]oda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r w:rsidR="005246D6">
        <w:rPr>
          <w:rFonts w:ascii="Times New Roman" w:hAnsi="Times New Roman"/>
          <w:b w:val="0"/>
          <w:bCs/>
          <w:sz w:val="20"/>
          <w:lang w:val="es-ES_tradnl"/>
        </w:rPr>
        <w:t>.</w:t>
      </w:r>
    </w:p>
  </w:footnote>
  <w:footnote w:id="21">
    <w:p w14:paraId="0C99473F" w14:textId="3C3FC97D" w:rsidR="0084096E" w:rsidRPr="005246D6" w:rsidRDefault="0084096E" w:rsidP="005246D6">
      <w:pPr>
        <w:pStyle w:val="Textonotapie"/>
        <w:spacing w:after="120"/>
        <w:ind w:firstLine="720"/>
        <w:jc w:val="both"/>
        <w:rPr>
          <w:rFonts w:ascii="Times New Roman" w:hAnsi="Times New Roman"/>
          <w:b w:val="0"/>
          <w:bCs/>
          <w:sz w:val="20"/>
          <w:lang w:val="es-ES_tradnl"/>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005246D6" w:rsidRPr="005246D6">
        <w:rPr>
          <w:rFonts w:ascii="Times New Roman" w:hAnsi="Times New Roman"/>
          <w:b w:val="0"/>
          <w:bCs/>
          <w:sz w:val="20"/>
          <w:lang w:val="es-ES_tradnl"/>
        </w:rPr>
        <w:t>CIDH. Informe Anual 2005. Informe de la Relatoría Especial para la Libertad de Expresión. Capítulo V (Las manifestaciones</w:t>
      </w:r>
      <w:r w:rsidR="005246D6">
        <w:rPr>
          <w:rFonts w:ascii="Times New Roman" w:hAnsi="Times New Roman"/>
          <w:b w:val="0"/>
          <w:bCs/>
          <w:sz w:val="20"/>
          <w:lang w:val="es-ES_tradnl"/>
        </w:rPr>
        <w:t xml:space="preserve"> </w:t>
      </w:r>
      <w:r w:rsidR="005246D6" w:rsidRPr="005246D6">
        <w:rPr>
          <w:rFonts w:ascii="Times New Roman" w:hAnsi="Times New Roman"/>
          <w:b w:val="0"/>
          <w:bCs/>
          <w:sz w:val="20"/>
          <w:lang w:val="es-ES_tradnl"/>
        </w:rPr>
        <w:t>públicas como ejercicio de la Libertad de Expresión y la Libertad de reunión). OEA/</w:t>
      </w:r>
      <w:proofErr w:type="spellStart"/>
      <w:r w:rsidR="005246D6" w:rsidRPr="005246D6">
        <w:rPr>
          <w:rFonts w:ascii="Times New Roman" w:hAnsi="Times New Roman"/>
          <w:b w:val="0"/>
          <w:bCs/>
          <w:sz w:val="20"/>
          <w:lang w:val="es-ES_tradnl"/>
        </w:rPr>
        <w:t>Ser.L</w:t>
      </w:r>
      <w:proofErr w:type="spellEnd"/>
      <w:r w:rsidR="005246D6" w:rsidRPr="005246D6">
        <w:rPr>
          <w:rFonts w:ascii="Times New Roman" w:hAnsi="Times New Roman"/>
          <w:b w:val="0"/>
          <w:bCs/>
          <w:sz w:val="20"/>
          <w:lang w:val="es-ES_tradnl"/>
        </w:rPr>
        <w:t>/V/II.124. Doc. 7. 27 de febrero de 2006. Párr.</w:t>
      </w:r>
      <w:r w:rsidR="005246D6">
        <w:rPr>
          <w:rFonts w:ascii="Times New Roman" w:hAnsi="Times New Roman"/>
          <w:b w:val="0"/>
          <w:bCs/>
          <w:sz w:val="20"/>
          <w:lang w:val="es-ES_tradnl"/>
        </w:rPr>
        <w:t xml:space="preserve"> </w:t>
      </w:r>
      <w:r w:rsidR="005246D6" w:rsidRPr="005246D6">
        <w:rPr>
          <w:rFonts w:ascii="Times New Roman" w:hAnsi="Times New Roman"/>
          <w:b w:val="0"/>
          <w:bCs/>
          <w:sz w:val="20"/>
          <w:lang w:val="es-ES_tradnl"/>
        </w:rPr>
        <w:t>90–102.</w:t>
      </w:r>
    </w:p>
  </w:footnote>
  <w:footnote w:id="22">
    <w:p w14:paraId="3F95AF33" w14:textId="5BD1D5EB" w:rsidR="0084096E" w:rsidRPr="005246D6" w:rsidRDefault="0084096E" w:rsidP="005246D6">
      <w:pPr>
        <w:pStyle w:val="Textonotapie"/>
        <w:spacing w:after="120"/>
        <w:ind w:firstLine="720"/>
        <w:jc w:val="both"/>
        <w:rPr>
          <w:rFonts w:ascii="Times New Roman" w:hAnsi="Times New Roman"/>
          <w:bCs/>
          <w:sz w:val="20"/>
          <w:lang w:val="es-ES_tradnl"/>
        </w:rPr>
      </w:pPr>
      <w:r w:rsidRPr="00040D34">
        <w:rPr>
          <w:rStyle w:val="Refdenotaalpie"/>
          <w:rFonts w:ascii="Times New Roman" w:hAnsi="Times New Roman"/>
          <w:b w:val="0"/>
          <w:sz w:val="20"/>
        </w:rPr>
        <w:footnoteRef/>
      </w:r>
      <w:r w:rsidRPr="00040D34">
        <w:rPr>
          <w:rFonts w:ascii="Times New Roman" w:hAnsi="Times New Roman"/>
          <w:b w:val="0"/>
          <w:sz w:val="20"/>
          <w:lang w:val="pt-BR"/>
        </w:rPr>
        <w:t xml:space="preserve"> </w:t>
      </w:r>
      <w:r w:rsidRPr="005246D6">
        <w:rPr>
          <w:rFonts w:ascii="Times New Roman" w:hAnsi="Times New Roman"/>
          <w:b w:val="0"/>
          <w:bCs/>
          <w:sz w:val="20"/>
          <w:lang w:val="es-ES_tradnl"/>
        </w:rPr>
        <w:t>P</w:t>
      </w:r>
      <w:r w:rsidR="005246D6" w:rsidRPr="005246D6">
        <w:rPr>
          <w:rFonts w:ascii="Times New Roman" w:hAnsi="Times New Roman"/>
          <w:b w:val="0"/>
          <w:bCs/>
          <w:sz w:val="20"/>
          <w:lang w:val="es-ES_tradnl"/>
        </w:rPr>
        <w:t>CIDH. Informe sobre Seguridad Ciudadana y Derechos Humanos. OEA/</w:t>
      </w:r>
      <w:proofErr w:type="spellStart"/>
      <w:r w:rsidR="005246D6" w:rsidRPr="005246D6">
        <w:rPr>
          <w:rFonts w:ascii="Times New Roman" w:hAnsi="Times New Roman"/>
          <w:b w:val="0"/>
          <w:bCs/>
          <w:sz w:val="20"/>
          <w:lang w:val="es-ES_tradnl"/>
        </w:rPr>
        <w:t>Ser.L</w:t>
      </w:r>
      <w:proofErr w:type="spellEnd"/>
      <w:r w:rsidR="005246D6" w:rsidRPr="005246D6">
        <w:rPr>
          <w:rFonts w:ascii="Times New Roman" w:hAnsi="Times New Roman"/>
          <w:b w:val="0"/>
          <w:bCs/>
          <w:sz w:val="20"/>
          <w:lang w:val="es-ES_tradnl"/>
        </w:rPr>
        <w:t>/V/II.Doc.57. 31 de diciembre de 2009. Párr. 197.</w:t>
      </w:r>
    </w:p>
  </w:footnote>
  <w:footnote w:id="23">
    <w:p w14:paraId="52977FCB" w14:textId="77777777" w:rsidR="00486E78" w:rsidRPr="00486E78" w:rsidRDefault="0084096E" w:rsidP="00486E78">
      <w:pPr>
        <w:ind w:firstLine="708"/>
        <w:rPr>
          <w:rFonts w:ascii="Times" w:eastAsia="Times New Roman" w:hAnsi="Times" w:cs="Times New Roman"/>
          <w:sz w:val="20"/>
          <w:szCs w:val="20"/>
          <w:lang w:val="es-ES_tradnl" w:eastAsia="es-ES"/>
        </w:rPr>
      </w:pPr>
      <w:r w:rsidRPr="00040D34">
        <w:rPr>
          <w:rStyle w:val="Refdenotaalpie"/>
          <w:rFonts w:ascii="Times New Roman" w:hAnsi="Times New Roman"/>
          <w:b/>
          <w:sz w:val="20"/>
        </w:rPr>
        <w:footnoteRef/>
      </w:r>
      <w:r w:rsidRPr="00040D34">
        <w:rPr>
          <w:rFonts w:ascii="Times New Roman" w:hAnsi="Times New Roman"/>
          <w:b/>
          <w:sz w:val="20"/>
          <w:lang w:val="pt-BR"/>
        </w:rPr>
        <w:t xml:space="preserve"> </w:t>
      </w:r>
      <w:r w:rsidR="00486E78" w:rsidRPr="00486E78">
        <w:rPr>
          <w:rFonts w:ascii="Times" w:eastAsia="Times New Roman" w:hAnsi="Times" w:cs="Times New Roman"/>
          <w:sz w:val="20"/>
          <w:szCs w:val="20"/>
          <w:lang w:val="es-ES_tradnl" w:eastAsia="es-ES"/>
        </w:rPr>
        <w:t>CIDH. Segundo Informe sobre la situación de las defensoras y los defensores de derechos humanos en las Américas. OEA/</w:t>
      </w:r>
      <w:proofErr w:type="spellStart"/>
      <w:r w:rsidR="00486E78" w:rsidRPr="00486E78">
        <w:rPr>
          <w:rFonts w:ascii="Times" w:eastAsia="Times New Roman" w:hAnsi="Times" w:cs="Times New Roman"/>
          <w:sz w:val="20"/>
          <w:szCs w:val="20"/>
          <w:lang w:val="es-ES_tradnl" w:eastAsia="es-ES"/>
        </w:rPr>
        <w:t>Ser.L</w:t>
      </w:r>
      <w:proofErr w:type="spellEnd"/>
      <w:r w:rsidR="00486E78" w:rsidRPr="00486E78">
        <w:rPr>
          <w:rFonts w:ascii="Times" w:eastAsia="Times New Roman" w:hAnsi="Times" w:cs="Times New Roman"/>
          <w:sz w:val="20"/>
          <w:szCs w:val="20"/>
          <w:lang w:val="es-ES_tradnl" w:eastAsia="es-ES"/>
        </w:rPr>
        <w:t>/V/II. Doc. 66. 31 de diciembre de 2011. Párr. 139.</w:t>
      </w:r>
    </w:p>
    <w:p w14:paraId="70D042FE" w14:textId="66D348AA" w:rsidR="0084096E" w:rsidRPr="00CB10CC" w:rsidRDefault="0084096E" w:rsidP="00486E78">
      <w:pPr>
        <w:pStyle w:val="Textonotapie"/>
        <w:spacing w:after="120"/>
        <w:ind w:firstLine="708"/>
        <w:jc w:val="both"/>
        <w:rPr>
          <w:rFonts w:ascii="Times New Roman" w:hAnsi="Times New Roman"/>
          <w:sz w:val="20"/>
          <w:lang w:val="es-AR"/>
        </w:rPr>
      </w:pPr>
    </w:p>
  </w:footnote>
  <w:footnote w:id="24">
    <w:p w14:paraId="6BA20059" w14:textId="127AD265" w:rsidR="0084096E" w:rsidRPr="005A66A5" w:rsidRDefault="0084096E" w:rsidP="005A66A5">
      <w:pPr>
        <w:ind w:firstLine="708"/>
        <w:jc w:val="both"/>
        <w:rPr>
          <w:rFonts w:ascii="Times" w:eastAsia="Times New Roman" w:hAnsi="Times" w:cs="Times New Roman"/>
          <w:sz w:val="20"/>
          <w:szCs w:val="20"/>
          <w:lang w:val="es-ES_tradnl" w:eastAsia="es-ES"/>
        </w:rPr>
      </w:pPr>
      <w:r w:rsidRPr="00040D34">
        <w:rPr>
          <w:rStyle w:val="Refdenotaalpie"/>
          <w:rFonts w:ascii="Times New Roman" w:hAnsi="Times New Roman"/>
          <w:b/>
          <w:sz w:val="20"/>
        </w:rPr>
        <w:footnoteRef/>
      </w:r>
      <w:r w:rsidRPr="00040D34">
        <w:rPr>
          <w:rFonts w:ascii="Times New Roman" w:hAnsi="Times New Roman"/>
          <w:b/>
          <w:sz w:val="20"/>
          <w:lang w:val="pt-BR"/>
        </w:rPr>
        <w:t xml:space="preserve"> </w:t>
      </w:r>
      <w:r w:rsidR="00486E78" w:rsidRPr="00486E78">
        <w:rPr>
          <w:rFonts w:ascii="Times" w:eastAsia="Times New Roman" w:hAnsi="Times" w:cs="Times New Roman"/>
          <w:sz w:val="20"/>
          <w:szCs w:val="20"/>
          <w:lang w:val="es-ES_tradnl" w:eastAsia="es-ES"/>
        </w:rPr>
        <w:t>Relator Especial de las Naciones Unidas (ONU) para la Protección y Promoción del Derecho a la Libertad de Opinión y de Expresión y Relatora Especial para la Libertad de Expresión de la Comisión Interamericana de Derechos Humanos de la OEA. 13 de septiembre de 2013. Declaración conjunta sobre violencia contra periodistas y comunicadores en el marco de manifestaciones sociales.</w:t>
      </w:r>
    </w:p>
  </w:footnote>
  <w:footnote w:id="25">
    <w:p w14:paraId="2CE353C2" w14:textId="77777777" w:rsidR="005A66A5" w:rsidRPr="005A66A5" w:rsidRDefault="0084096E" w:rsidP="005A66A5">
      <w:pPr>
        <w:ind w:firstLine="708"/>
        <w:rPr>
          <w:rFonts w:ascii="Times" w:eastAsia="Times New Roman" w:hAnsi="Times" w:cs="Times New Roman"/>
          <w:sz w:val="20"/>
          <w:szCs w:val="20"/>
          <w:lang w:val="es-ES_tradnl" w:eastAsia="es-ES"/>
        </w:rPr>
      </w:pPr>
      <w:r w:rsidRPr="00040D34">
        <w:rPr>
          <w:rStyle w:val="Refdenotaalpie"/>
          <w:rFonts w:ascii="Times New Roman" w:hAnsi="Times New Roman"/>
          <w:b/>
          <w:sz w:val="20"/>
        </w:rPr>
        <w:footnoteRef/>
      </w:r>
      <w:r w:rsidRPr="00040D34">
        <w:rPr>
          <w:rFonts w:ascii="Times New Roman" w:hAnsi="Times New Roman"/>
          <w:b/>
          <w:sz w:val="20"/>
          <w:lang w:val="pt-BR"/>
        </w:rPr>
        <w:t xml:space="preserve"> </w:t>
      </w:r>
      <w:r w:rsidR="005A66A5" w:rsidRPr="005A66A5">
        <w:rPr>
          <w:rFonts w:ascii="Times" w:eastAsia="Times New Roman" w:hAnsi="Times" w:cs="Times New Roman"/>
          <w:sz w:val="20"/>
          <w:szCs w:val="20"/>
          <w:lang w:val="es-ES_tradnl" w:eastAsia="es-ES"/>
        </w:rPr>
        <w:t>CIDH. Segundo Informe sobre la situación de las defensoras y los defensores de derechos humanos en las Américas. OEA/</w:t>
      </w:r>
      <w:proofErr w:type="spellStart"/>
      <w:r w:rsidR="005A66A5" w:rsidRPr="005A66A5">
        <w:rPr>
          <w:rFonts w:ascii="Times" w:eastAsia="Times New Roman" w:hAnsi="Times" w:cs="Times New Roman"/>
          <w:sz w:val="20"/>
          <w:szCs w:val="20"/>
          <w:lang w:val="es-ES_tradnl" w:eastAsia="es-ES"/>
        </w:rPr>
        <w:t>Ser.L</w:t>
      </w:r>
      <w:proofErr w:type="spellEnd"/>
      <w:r w:rsidR="005A66A5" w:rsidRPr="005A66A5">
        <w:rPr>
          <w:rFonts w:ascii="Times" w:eastAsia="Times New Roman" w:hAnsi="Times" w:cs="Times New Roman"/>
          <w:sz w:val="20"/>
          <w:szCs w:val="20"/>
          <w:lang w:val="es-ES_tradnl" w:eastAsia="es-ES"/>
        </w:rPr>
        <w:t>/V/II. Doc. 66. 31 de diciembre de 2011. Párr. 58.</w:t>
      </w:r>
    </w:p>
    <w:p w14:paraId="14389860" w14:textId="6D59E642" w:rsidR="0084096E" w:rsidRPr="0084096E" w:rsidRDefault="0084096E" w:rsidP="005A66A5">
      <w:pPr>
        <w:pStyle w:val="Textonotapie"/>
        <w:spacing w:after="120"/>
        <w:ind w:firstLine="708"/>
        <w:jc w:val="both"/>
        <w:rPr>
          <w:rFonts w:ascii="Times New Roman" w:hAnsi="Times New Roman"/>
          <w:bCs/>
          <w:sz w:val="20"/>
          <w:lang w:val="es-ES_tradnl"/>
        </w:rPr>
      </w:pPr>
    </w:p>
    <w:p w14:paraId="5A3A5EC2" w14:textId="77777777" w:rsidR="0084096E" w:rsidRPr="00CB10CC" w:rsidRDefault="0084096E" w:rsidP="0084096E">
      <w:pPr>
        <w:pStyle w:val="Textonotapie"/>
        <w:spacing w:after="120" w:line="276" w:lineRule="auto"/>
        <w:ind w:firstLine="720"/>
        <w:jc w:val="both"/>
        <w:rPr>
          <w:rFonts w:ascii="Times New Roman" w:hAnsi="Times New Roman"/>
          <w:sz w:val="20"/>
          <w:lang w:val="es-A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9B"/>
    <w:rsid w:val="00040D34"/>
    <w:rsid w:val="00111939"/>
    <w:rsid w:val="00154B1C"/>
    <w:rsid w:val="00171F23"/>
    <w:rsid w:val="00181A18"/>
    <w:rsid w:val="0019505E"/>
    <w:rsid w:val="0027568B"/>
    <w:rsid w:val="00305C3E"/>
    <w:rsid w:val="003A5E77"/>
    <w:rsid w:val="004032BE"/>
    <w:rsid w:val="00486E78"/>
    <w:rsid w:val="005246D6"/>
    <w:rsid w:val="00527F84"/>
    <w:rsid w:val="005359DC"/>
    <w:rsid w:val="0058760E"/>
    <w:rsid w:val="005A4B8E"/>
    <w:rsid w:val="005A66A5"/>
    <w:rsid w:val="005E209B"/>
    <w:rsid w:val="006007D6"/>
    <w:rsid w:val="00652FFB"/>
    <w:rsid w:val="00750E4D"/>
    <w:rsid w:val="007761B6"/>
    <w:rsid w:val="007C2563"/>
    <w:rsid w:val="007D6107"/>
    <w:rsid w:val="007F4D1D"/>
    <w:rsid w:val="0080019B"/>
    <w:rsid w:val="0084096E"/>
    <w:rsid w:val="00851F31"/>
    <w:rsid w:val="00857CA9"/>
    <w:rsid w:val="008620E4"/>
    <w:rsid w:val="00866356"/>
    <w:rsid w:val="00876F66"/>
    <w:rsid w:val="008D00D0"/>
    <w:rsid w:val="00961D07"/>
    <w:rsid w:val="00983A89"/>
    <w:rsid w:val="009B555D"/>
    <w:rsid w:val="009C6618"/>
    <w:rsid w:val="00AB3B64"/>
    <w:rsid w:val="00AB65AD"/>
    <w:rsid w:val="00AE2E8E"/>
    <w:rsid w:val="00B562D0"/>
    <w:rsid w:val="00B67315"/>
    <w:rsid w:val="00C0627C"/>
    <w:rsid w:val="00C64923"/>
    <w:rsid w:val="00C6536D"/>
    <w:rsid w:val="00CB10CC"/>
    <w:rsid w:val="00CB54B0"/>
    <w:rsid w:val="00CB7231"/>
    <w:rsid w:val="00CC2B0A"/>
    <w:rsid w:val="00CD18C2"/>
    <w:rsid w:val="00D01288"/>
    <w:rsid w:val="00D1462C"/>
    <w:rsid w:val="00D91828"/>
    <w:rsid w:val="00D9459C"/>
    <w:rsid w:val="00DE5A71"/>
    <w:rsid w:val="00E4521B"/>
    <w:rsid w:val="00E74746"/>
    <w:rsid w:val="00EB16B9"/>
    <w:rsid w:val="00F509AC"/>
    <w:rsid w:val="00F961E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0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9B555D"/>
    <w:rPr>
      <w:rFonts w:ascii="Univers" w:hAnsi="Univers"/>
      <w:sz w:val="16"/>
      <w:vertAlign w:val="superscript"/>
    </w:rPr>
  </w:style>
  <w:style w:type="paragraph" w:styleId="Textonotapie">
    <w:name w:val="footnote text"/>
    <w:aliases w:val="Footnote reference,FA Fu,Footnote Text Char Char Char Char Char,Footnote Text Char Char Char Char,footnote text"/>
    <w:basedOn w:val="Normal"/>
    <w:link w:val="TextonotapieCar"/>
    <w:semiHidden/>
    <w:rsid w:val="009B555D"/>
    <w:pPr>
      <w:spacing w:after="0" w:line="240" w:lineRule="auto"/>
    </w:pPr>
    <w:rPr>
      <w:rFonts w:ascii="Univers" w:eastAsia="Times New Roman" w:hAnsi="Univers" w:cs="Times New Roman"/>
      <w:b/>
      <w:sz w:val="16"/>
      <w:szCs w:val="20"/>
      <w:lang w:val="es-CO"/>
    </w:rPr>
  </w:style>
  <w:style w:type="character" w:customStyle="1" w:styleId="TextonotapieCar">
    <w:name w:val="Texto nota pie Car"/>
    <w:aliases w:val="Footnote reference Car,FA Fu Car,Footnote Text Char Char Char Char Char Car,Footnote Text Char Char Char Char Car,footnote text Car"/>
    <w:basedOn w:val="Fuentedeprrafopredeter"/>
    <w:link w:val="Textonotapie"/>
    <w:semiHidden/>
    <w:rsid w:val="009B555D"/>
    <w:rPr>
      <w:rFonts w:ascii="Univers" w:eastAsia="Times New Roman" w:hAnsi="Univers" w:cs="Times New Roman"/>
      <w:b/>
      <w:sz w:val="16"/>
      <w:szCs w:val="20"/>
      <w:lang w:val="es-CO"/>
    </w:rPr>
  </w:style>
  <w:style w:type="character" w:styleId="Hipervnculo">
    <w:name w:val="Hyperlink"/>
    <w:basedOn w:val="Fuentedeprrafopredeter"/>
    <w:uiPriority w:val="99"/>
    <w:unhideWhenUsed/>
    <w:rsid w:val="00DE5A71"/>
    <w:rPr>
      <w:color w:val="0000FF" w:themeColor="hyperlink"/>
      <w:u w:val="single"/>
    </w:rPr>
  </w:style>
  <w:style w:type="paragraph" w:styleId="Textodeglobo">
    <w:name w:val="Balloon Text"/>
    <w:basedOn w:val="Normal"/>
    <w:link w:val="TextodegloboCar"/>
    <w:uiPriority w:val="99"/>
    <w:semiHidden/>
    <w:unhideWhenUsed/>
    <w:rsid w:val="00CD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8C2"/>
    <w:rPr>
      <w:rFonts w:ascii="Tahoma" w:hAnsi="Tahoma" w:cs="Tahoma"/>
      <w:sz w:val="16"/>
      <w:szCs w:val="16"/>
    </w:rPr>
  </w:style>
  <w:style w:type="paragraph" w:styleId="Encabezado">
    <w:name w:val="header"/>
    <w:basedOn w:val="Normal"/>
    <w:link w:val="EncabezadoCar"/>
    <w:uiPriority w:val="99"/>
    <w:unhideWhenUsed/>
    <w:rsid w:val="00851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F31"/>
  </w:style>
  <w:style w:type="paragraph" w:styleId="Piedepgina">
    <w:name w:val="footer"/>
    <w:basedOn w:val="Normal"/>
    <w:link w:val="PiedepginaCar"/>
    <w:uiPriority w:val="99"/>
    <w:unhideWhenUsed/>
    <w:rsid w:val="00851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F31"/>
  </w:style>
  <w:style w:type="paragraph" w:styleId="NormalWeb">
    <w:name w:val="Normal (Web)"/>
    <w:basedOn w:val="Normal"/>
    <w:uiPriority w:val="99"/>
    <w:semiHidden/>
    <w:unhideWhenUsed/>
    <w:rsid w:val="00040D34"/>
    <w:rPr>
      <w:rFonts w:ascii="Times New Roman" w:hAnsi="Times New Roman" w:cs="Times New Roman"/>
      <w:sz w:val="24"/>
      <w:szCs w:val="24"/>
    </w:rPr>
  </w:style>
  <w:style w:type="paragraph" w:styleId="Prrafodelista">
    <w:name w:val="List Paragraph"/>
    <w:basedOn w:val="Normal"/>
    <w:uiPriority w:val="34"/>
    <w:qFormat/>
    <w:rsid w:val="00171F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9B555D"/>
    <w:rPr>
      <w:rFonts w:ascii="Univers" w:hAnsi="Univers"/>
      <w:sz w:val="16"/>
      <w:vertAlign w:val="superscript"/>
    </w:rPr>
  </w:style>
  <w:style w:type="paragraph" w:styleId="Textonotapie">
    <w:name w:val="footnote text"/>
    <w:aliases w:val="Footnote reference,FA Fu,Footnote Text Char Char Char Char Char,Footnote Text Char Char Char Char,footnote text"/>
    <w:basedOn w:val="Normal"/>
    <w:link w:val="TextonotapieCar"/>
    <w:semiHidden/>
    <w:rsid w:val="009B555D"/>
    <w:pPr>
      <w:spacing w:after="0" w:line="240" w:lineRule="auto"/>
    </w:pPr>
    <w:rPr>
      <w:rFonts w:ascii="Univers" w:eastAsia="Times New Roman" w:hAnsi="Univers" w:cs="Times New Roman"/>
      <w:b/>
      <w:sz w:val="16"/>
      <w:szCs w:val="20"/>
      <w:lang w:val="es-CO"/>
    </w:rPr>
  </w:style>
  <w:style w:type="character" w:customStyle="1" w:styleId="TextonotapieCar">
    <w:name w:val="Texto nota pie Car"/>
    <w:aliases w:val="Footnote reference Car,FA Fu Car,Footnote Text Char Char Char Char Char Car,Footnote Text Char Char Char Char Car,footnote text Car"/>
    <w:basedOn w:val="Fuentedeprrafopredeter"/>
    <w:link w:val="Textonotapie"/>
    <w:semiHidden/>
    <w:rsid w:val="009B555D"/>
    <w:rPr>
      <w:rFonts w:ascii="Univers" w:eastAsia="Times New Roman" w:hAnsi="Univers" w:cs="Times New Roman"/>
      <w:b/>
      <w:sz w:val="16"/>
      <w:szCs w:val="20"/>
      <w:lang w:val="es-CO"/>
    </w:rPr>
  </w:style>
  <w:style w:type="character" w:styleId="Hipervnculo">
    <w:name w:val="Hyperlink"/>
    <w:basedOn w:val="Fuentedeprrafopredeter"/>
    <w:uiPriority w:val="99"/>
    <w:unhideWhenUsed/>
    <w:rsid w:val="00DE5A71"/>
    <w:rPr>
      <w:color w:val="0000FF" w:themeColor="hyperlink"/>
      <w:u w:val="single"/>
    </w:rPr>
  </w:style>
  <w:style w:type="paragraph" w:styleId="Textodeglobo">
    <w:name w:val="Balloon Text"/>
    <w:basedOn w:val="Normal"/>
    <w:link w:val="TextodegloboCar"/>
    <w:uiPriority w:val="99"/>
    <w:semiHidden/>
    <w:unhideWhenUsed/>
    <w:rsid w:val="00CD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8C2"/>
    <w:rPr>
      <w:rFonts w:ascii="Tahoma" w:hAnsi="Tahoma" w:cs="Tahoma"/>
      <w:sz w:val="16"/>
      <w:szCs w:val="16"/>
    </w:rPr>
  </w:style>
  <w:style w:type="paragraph" w:styleId="Encabezado">
    <w:name w:val="header"/>
    <w:basedOn w:val="Normal"/>
    <w:link w:val="EncabezadoCar"/>
    <w:uiPriority w:val="99"/>
    <w:unhideWhenUsed/>
    <w:rsid w:val="00851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F31"/>
  </w:style>
  <w:style w:type="paragraph" w:styleId="Piedepgina">
    <w:name w:val="footer"/>
    <w:basedOn w:val="Normal"/>
    <w:link w:val="PiedepginaCar"/>
    <w:uiPriority w:val="99"/>
    <w:unhideWhenUsed/>
    <w:rsid w:val="00851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F31"/>
  </w:style>
  <w:style w:type="paragraph" w:styleId="NormalWeb">
    <w:name w:val="Normal (Web)"/>
    <w:basedOn w:val="Normal"/>
    <w:uiPriority w:val="99"/>
    <w:semiHidden/>
    <w:unhideWhenUsed/>
    <w:rsid w:val="00040D34"/>
    <w:rPr>
      <w:rFonts w:ascii="Times New Roman" w:hAnsi="Times New Roman" w:cs="Times New Roman"/>
      <w:sz w:val="24"/>
      <w:szCs w:val="24"/>
    </w:rPr>
  </w:style>
  <w:style w:type="paragraph" w:styleId="Prrafodelista">
    <w:name w:val="List Paragraph"/>
    <w:basedOn w:val="Normal"/>
    <w:uiPriority w:val="34"/>
    <w:qFormat/>
    <w:rsid w:val="0017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527">
      <w:bodyDiv w:val="1"/>
      <w:marLeft w:val="0"/>
      <w:marRight w:val="0"/>
      <w:marTop w:val="0"/>
      <w:marBottom w:val="0"/>
      <w:divBdr>
        <w:top w:val="none" w:sz="0" w:space="0" w:color="auto"/>
        <w:left w:val="none" w:sz="0" w:space="0" w:color="auto"/>
        <w:bottom w:val="none" w:sz="0" w:space="0" w:color="auto"/>
        <w:right w:val="none" w:sz="0" w:space="0" w:color="auto"/>
      </w:divBdr>
    </w:div>
    <w:div w:id="403573349">
      <w:bodyDiv w:val="1"/>
      <w:marLeft w:val="0"/>
      <w:marRight w:val="0"/>
      <w:marTop w:val="0"/>
      <w:marBottom w:val="0"/>
      <w:divBdr>
        <w:top w:val="none" w:sz="0" w:space="0" w:color="auto"/>
        <w:left w:val="none" w:sz="0" w:space="0" w:color="auto"/>
        <w:bottom w:val="none" w:sz="0" w:space="0" w:color="auto"/>
        <w:right w:val="none" w:sz="0" w:space="0" w:color="auto"/>
      </w:divBdr>
    </w:div>
    <w:div w:id="1136222225">
      <w:bodyDiv w:val="1"/>
      <w:marLeft w:val="0"/>
      <w:marRight w:val="0"/>
      <w:marTop w:val="0"/>
      <w:marBottom w:val="0"/>
      <w:divBdr>
        <w:top w:val="none" w:sz="0" w:space="0" w:color="auto"/>
        <w:left w:val="none" w:sz="0" w:space="0" w:color="auto"/>
        <w:bottom w:val="none" w:sz="0" w:space="0" w:color="auto"/>
        <w:right w:val="none" w:sz="0" w:space="0" w:color="auto"/>
      </w:divBdr>
    </w:div>
    <w:div w:id="1478106870">
      <w:bodyDiv w:val="1"/>
      <w:marLeft w:val="0"/>
      <w:marRight w:val="0"/>
      <w:marTop w:val="0"/>
      <w:marBottom w:val="0"/>
      <w:divBdr>
        <w:top w:val="none" w:sz="0" w:space="0" w:color="auto"/>
        <w:left w:val="none" w:sz="0" w:space="0" w:color="auto"/>
        <w:bottom w:val="none" w:sz="0" w:space="0" w:color="auto"/>
        <w:right w:val="none" w:sz="0" w:space="0" w:color="auto"/>
      </w:divBdr>
    </w:div>
    <w:div w:id="1553883687">
      <w:bodyDiv w:val="1"/>
      <w:marLeft w:val="0"/>
      <w:marRight w:val="0"/>
      <w:marTop w:val="0"/>
      <w:marBottom w:val="0"/>
      <w:divBdr>
        <w:top w:val="none" w:sz="0" w:space="0" w:color="auto"/>
        <w:left w:val="none" w:sz="0" w:space="0" w:color="auto"/>
        <w:bottom w:val="none" w:sz="0" w:space="0" w:color="auto"/>
        <w:right w:val="none" w:sz="0" w:space="0" w:color="auto"/>
      </w:divBdr>
    </w:div>
    <w:div w:id="1575385096">
      <w:bodyDiv w:val="1"/>
      <w:marLeft w:val="0"/>
      <w:marRight w:val="0"/>
      <w:marTop w:val="0"/>
      <w:marBottom w:val="0"/>
      <w:divBdr>
        <w:top w:val="none" w:sz="0" w:space="0" w:color="auto"/>
        <w:left w:val="none" w:sz="0" w:space="0" w:color="auto"/>
        <w:bottom w:val="none" w:sz="0" w:space="0" w:color="auto"/>
        <w:right w:val="none" w:sz="0" w:space="0" w:color="auto"/>
      </w:divBdr>
    </w:div>
    <w:div w:id="1655793070">
      <w:bodyDiv w:val="1"/>
      <w:marLeft w:val="0"/>
      <w:marRight w:val="0"/>
      <w:marTop w:val="0"/>
      <w:marBottom w:val="0"/>
      <w:divBdr>
        <w:top w:val="none" w:sz="0" w:space="0" w:color="auto"/>
        <w:left w:val="none" w:sz="0" w:space="0" w:color="auto"/>
        <w:bottom w:val="none" w:sz="0" w:space="0" w:color="auto"/>
        <w:right w:val="none" w:sz="0" w:space="0" w:color="auto"/>
      </w:divBdr>
    </w:div>
    <w:div w:id="1680346985">
      <w:bodyDiv w:val="1"/>
      <w:marLeft w:val="0"/>
      <w:marRight w:val="0"/>
      <w:marTop w:val="0"/>
      <w:marBottom w:val="0"/>
      <w:divBdr>
        <w:top w:val="none" w:sz="0" w:space="0" w:color="auto"/>
        <w:left w:val="none" w:sz="0" w:space="0" w:color="auto"/>
        <w:bottom w:val="none" w:sz="0" w:space="0" w:color="auto"/>
        <w:right w:val="none" w:sz="0" w:space="0" w:color="auto"/>
      </w:divBdr>
    </w:div>
    <w:div w:id="1809125399">
      <w:bodyDiv w:val="1"/>
      <w:marLeft w:val="0"/>
      <w:marRight w:val="0"/>
      <w:marTop w:val="0"/>
      <w:marBottom w:val="0"/>
      <w:divBdr>
        <w:top w:val="none" w:sz="0" w:space="0" w:color="auto"/>
        <w:left w:val="none" w:sz="0" w:space="0" w:color="auto"/>
        <w:bottom w:val="none" w:sz="0" w:space="0" w:color="auto"/>
        <w:right w:val="none" w:sz="0" w:space="0" w:color="auto"/>
      </w:divBdr>
    </w:div>
    <w:div w:id="1852793222">
      <w:bodyDiv w:val="1"/>
      <w:marLeft w:val="0"/>
      <w:marRight w:val="0"/>
      <w:marTop w:val="0"/>
      <w:marBottom w:val="0"/>
      <w:divBdr>
        <w:top w:val="none" w:sz="0" w:space="0" w:color="auto"/>
        <w:left w:val="none" w:sz="0" w:space="0" w:color="auto"/>
        <w:bottom w:val="none" w:sz="0" w:space="0" w:color="auto"/>
        <w:right w:val="none" w:sz="0" w:space="0" w:color="auto"/>
      </w:divBdr>
      <w:divsChild>
        <w:div w:id="776293701">
          <w:marLeft w:val="0"/>
          <w:marRight w:val="0"/>
          <w:marTop w:val="0"/>
          <w:marBottom w:val="0"/>
          <w:divBdr>
            <w:top w:val="none" w:sz="0" w:space="0" w:color="auto"/>
            <w:left w:val="none" w:sz="0" w:space="0" w:color="auto"/>
            <w:bottom w:val="none" w:sz="0" w:space="0" w:color="auto"/>
            <w:right w:val="none" w:sz="0" w:space="0" w:color="auto"/>
          </w:divBdr>
        </w:div>
        <w:div w:id="2046439970">
          <w:marLeft w:val="0"/>
          <w:marRight w:val="0"/>
          <w:marTop w:val="0"/>
          <w:marBottom w:val="0"/>
          <w:divBdr>
            <w:top w:val="none" w:sz="0" w:space="0" w:color="auto"/>
            <w:left w:val="none" w:sz="0" w:space="0" w:color="auto"/>
            <w:bottom w:val="none" w:sz="0" w:space="0" w:color="auto"/>
            <w:right w:val="none" w:sz="0" w:space="0" w:color="auto"/>
          </w:divBdr>
        </w:div>
        <w:div w:id="1715159400">
          <w:marLeft w:val="0"/>
          <w:marRight w:val="0"/>
          <w:marTop w:val="0"/>
          <w:marBottom w:val="0"/>
          <w:divBdr>
            <w:top w:val="none" w:sz="0" w:space="0" w:color="auto"/>
            <w:left w:val="none" w:sz="0" w:space="0" w:color="auto"/>
            <w:bottom w:val="none" w:sz="0" w:space="0" w:color="auto"/>
            <w:right w:val="none" w:sz="0" w:space="0" w:color="auto"/>
          </w:divBdr>
        </w:div>
        <w:div w:id="1268778458">
          <w:marLeft w:val="0"/>
          <w:marRight w:val="0"/>
          <w:marTop w:val="0"/>
          <w:marBottom w:val="0"/>
          <w:divBdr>
            <w:top w:val="none" w:sz="0" w:space="0" w:color="auto"/>
            <w:left w:val="none" w:sz="0" w:space="0" w:color="auto"/>
            <w:bottom w:val="none" w:sz="0" w:space="0" w:color="auto"/>
            <w:right w:val="none" w:sz="0" w:space="0" w:color="auto"/>
          </w:divBdr>
        </w:div>
        <w:div w:id="2096782999">
          <w:marLeft w:val="0"/>
          <w:marRight w:val="0"/>
          <w:marTop w:val="0"/>
          <w:marBottom w:val="0"/>
          <w:divBdr>
            <w:top w:val="none" w:sz="0" w:space="0" w:color="auto"/>
            <w:left w:val="none" w:sz="0" w:space="0" w:color="auto"/>
            <w:bottom w:val="none" w:sz="0" w:space="0" w:color="auto"/>
            <w:right w:val="none" w:sz="0" w:space="0" w:color="auto"/>
          </w:divBdr>
        </w:div>
        <w:div w:id="1976910578">
          <w:marLeft w:val="0"/>
          <w:marRight w:val="0"/>
          <w:marTop w:val="0"/>
          <w:marBottom w:val="0"/>
          <w:divBdr>
            <w:top w:val="none" w:sz="0" w:space="0" w:color="auto"/>
            <w:left w:val="none" w:sz="0" w:space="0" w:color="auto"/>
            <w:bottom w:val="none" w:sz="0" w:space="0" w:color="auto"/>
            <w:right w:val="none" w:sz="0" w:space="0" w:color="auto"/>
          </w:divBdr>
        </w:div>
        <w:div w:id="1256472362">
          <w:marLeft w:val="0"/>
          <w:marRight w:val="0"/>
          <w:marTop w:val="0"/>
          <w:marBottom w:val="0"/>
          <w:divBdr>
            <w:top w:val="none" w:sz="0" w:space="0" w:color="auto"/>
            <w:left w:val="none" w:sz="0" w:space="0" w:color="auto"/>
            <w:bottom w:val="none" w:sz="0" w:space="0" w:color="auto"/>
            <w:right w:val="none" w:sz="0" w:space="0" w:color="auto"/>
          </w:divBdr>
        </w:div>
        <w:div w:id="1118110697">
          <w:marLeft w:val="0"/>
          <w:marRight w:val="0"/>
          <w:marTop w:val="0"/>
          <w:marBottom w:val="0"/>
          <w:divBdr>
            <w:top w:val="none" w:sz="0" w:space="0" w:color="auto"/>
            <w:left w:val="none" w:sz="0" w:space="0" w:color="auto"/>
            <w:bottom w:val="none" w:sz="0" w:space="0" w:color="auto"/>
            <w:right w:val="none" w:sz="0" w:space="0" w:color="auto"/>
          </w:divBdr>
        </w:div>
        <w:div w:id="500774749">
          <w:marLeft w:val="0"/>
          <w:marRight w:val="0"/>
          <w:marTop w:val="0"/>
          <w:marBottom w:val="0"/>
          <w:divBdr>
            <w:top w:val="none" w:sz="0" w:space="0" w:color="auto"/>
            <w:left w:val="none" w:sz="0" w:space="0" w:color="auto"/>
            <w:bottom w:val="none" w:sz="0" w:space="0" w:color="auto"/>
            <w:right w:val="none" w:sz="0" w:space="0" w:color="auto"/>
          </w:divBdr>
        </w:div>
        <w:div w:id="2111968566">
          <w:marLeft w:val="0"/>
          <w:marRight w:val="0"/>
          <w:marTop w:val="0"/>
          <w:marBottom w:val="0"/>
          <w:divBdr>
            <w:top w:val="none" w:sz="0" w:space="0" w:color="auto"/>
            <w:left w:val="none" w:sz="0" w:space="0" w:color="auto"/>
            <w:bottom w:val="none" w:sz="0" w:space="0" w:color="auto"/>
            <w:right w:val="none" w:sz="0" w:space="0" w:color="auto"/>
          </w:divBdr>
        </w:div>
        <w:div w:id="883831982">
          <w:marLeft w:val="0"/>
          <w:marRight w:val="0"/>
          <w:marTop w:val="0"/>
          <w:marBottom w:val="0"/>
          <w:divBdr>
            <w:top w:val="none" w:sz="0" w:space="0" w:color="auto"/>
            <w:left w:val="none" w:sz="0" w:space="0" w:color="auto"/>
            <w:bottom w:val="none" w:sz="0" w:space="0" w:color="auto"/>
            <w:right w:val="none" w:sz="0" w:space="0" w:color="auto"/>
          </w:divBdr>
        </w:div>
        <w:div w:id="232543055">
          <w:marLeft w:val="0"/>
          <w:marRight w:val="0"/>
          <w:marTop w:val="0"/>
          <w:marBottom w:val="0"/>
          <w:divBdr>
            <w:top w:val="none" w:sz="0" w:space="0" w:color="auto"/>
            <w:left w:val="none" w:sz="0" w:space="0" w:color="auto"/>
            <w:bottom w:val="none" w:sz="0" w:space="0" w:color="auto"/>
            <w:right w:val="none" w:sz="0" w:space="0" w:color="auto"/>
          </w:divBdr>
        </w:div>
        <w:div w:id="241182839">
          <w:marLeft w:val="0"/>
          <w:marRight w:val="0"/>
          <w:marTop w:val="0"/>
          <w:marBottom w:val="0"/>
          <w:divBdr>
            <w:top w:val="none" w:sz="0" w:space="0" w:color="auto"/>
            <w:left w:val="none" w:sz="0" w:space="0" w:color="auto"/>
            <w:bottom w:val="none" w:sz="0" w:space="0" w:color="auto"/>
            <w:right w:val="none" w:sz="0" w:space="0" w:color="auto"/>
          </w:divBdr>
        </w:div>
        <w:div w:id="2137982632">
          <w:marLeft w:val="0"/>
          <w:marRight w:val="0"/>
          <w:marTop w:val="0"/>
          <w:marBottom w:val="0"/>
          <w:divBdr>
            <w:top w:val="none" w:sz="0" w:space="0" w:color="auto"/>
            <w:left w:val="none" w:sz="0" w:space="0" w:color="auto"/>
            <w:bottom w:val="none" w:sz="0" w:space="0" w:color="auto"/>
            <w:right w:val="none" w:sz="0" w:space="0" w:color="auto"/>
          </w:divBdr>
          <w:divsChild>
            <w:div w:id="19744355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96164239">
      <w:bodyDiv w:val="1"/>
      <w:marLeft w:val="0"/>
      <w:marRight w:val="0"/>
      <w:marTop w:val="0"/>
      <w:marBottom w:val="0"/>
      <w:divBdr>
        <w:top w:val="none" w:sz="0" w:space="0" w:color="auto"/>
        <w:left w:val="none" w:sz="0" w:space="0" w:color="auto"/>
        <w:bottom w:val="none" w:sz="0" w:space="0" w:color="auto"/>
        <w:right w:val="none" w:sz="0" w:space="0" w:color="auto"/>
      </w:divBdr>
    </w:div>
    <w:div w:id="1919167457">
      <w:bodyDiv w:val="1"/>
      <w:marLeft w:val="0"/>
      <w:marRight w:val="0"/>
      <w:marTop w:val="0"/>
      <w:marBottom w:val="0"/>
      <w:divBdr>
        <w:top w:val="none" w:sz="0" w:space="0" w:color="auto"/>
        <w:left w:val="none" w:sz="0" w:space="0" w:color="auto"/>
        <w:bottom w:val="none" w:sz="0" w:space="0" w:color="auto"/>
        <w:right w:val="none" w:sz="0" w:space="0" w:color="auto"/>
      </w:divBdr>
    </w:div>
    <w:div w:id="1958172524">
      <w:bodyDiv w:val="1"/>
      <w:marLeft w:val="0"/>
      <w:marRight w:val="0"/>
      <w:marTop w:val="0"/>
      <w:marBottom w:val="0"/>
      <w:divBdr>
        <w:top w:val="none" w:sz="0" w:space="0" w:color="auto"/>
        <w:left w:val="none" w:sz="0" w:space="0" w:color="auto"/>
        <w:bottom w:val="none" w:sz="0" w:space="0" w:color="auto"/>
        <w:right w:val="none" w:sz="0" w:space="0" w:color="auto"/>
      </w:divBdr>
    </w:div>
    <w:div w:id="2039818687">
      <w:bodyDiv w:val="1"/>
      <w:marLeft w:val="0"/>
      <w:marRight w:val="0"/>
      <w:marTop w:val="0"/>
      <w:marBottom w:val="0"/>
      <w:divBdr>
        <w:top w:val="none" w:sz="0" w:space="0" w:color="auto"/>
        <w:left w:val="none" w:sz="0" w:space="0" w:color="auto"/>
        <w:bottom w:val="none" w:sz="0" w:space="0" w:color="auto"/>
        <w:right w:val="none" w:sz="0" w:space="0" w:color="auto"/>
      </w:divBdr>
    </w:div>
    <w:div w:id="2070953715">
      <w:bodyDiv w:val="1"/>
      <w:marLeft w:val="0"/>
      <w:marRight w:val="0"/>
      <w:marTop w:val="0"/>
      <w:marBottom w:val="0"/>
      <w:divBdr>
        <w:top w:val="none" w:sz="0" w:space="0" w:color="auto"/>
        <w:left w:val="none" w:sz="0" w:space="0" w:color="auto"/>
        <w:bottom w:val="none" w:sz="0" w:space="0" w:color="auto"/>
        <w:right w:val="none" w:sz="0" w:space="0" w:color="auto"/>
      </w:divBdr>
    </w:div>
    <w:div w:id="21125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minseg.gob.ar/pdf/protocolo-final.pdf" TargetMode="External"/><Relationship Id="rId4" Type="http://schemas.openxmlformats.org/officeDocument/2006/relationships/hyperlink" Target="http://www.oas.org/es/cidh/expresion/docs/informes/anuales/monitoreo/CapII_2014_es.pdf" TargetMode="External"/><Relationship Id="rId5" Type="http://schemas.openxmlformats.org/officeDocument/2006/relationships/hyperlink" Target="http://www.oas.org/es/cidh/expresion/showarticle.asp?artID=931&amp;lID=2" TargetMode="External"/><Relationship Id="rId6" Type="http://schemas.openxmlformats.org/officeDocument/2006/relationships/hyperlink" Target="http://www.oas.org/es/cidh/expresion/informes/tematicos.asp" TargetMode="External"/><Relationship Id="rId1" Type="http://schemas.openxmlformats.org/officeDocument/2006/relationships/hyperlink" Target="http://www.oas.org/es/cidh/expresion/informes/tematicos.asp" TargetMode="External"/><Relationship Id="rId2" Type="http://schemas.openxmlformats.org/officeDocument/2006/relationships/hyperlink" Target="http://www.oas.org/charter/docs_es/resolucion1_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3556</Words>
  <Characters>19562</Characters>
  <Application>Microsoft Macintosh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VeronicaPC</dc:creator>
  <cp:lastModifiedBy>Jose Raul Heredia</cp:lastModifiedBy>
  <cp:revision>15</cp:revision>
  <dcterms:created xsi:type="dcterms:W3CDTF">2016-03-17T19:11:00Z</dcterms:created>
  <dcterms:modified xsi:type="dcterms:W3CDTF">2016-03-17T21:26:00Z</dcterms:modified>
</cp:coreProperties>
</file>